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A1BCA">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48"/>
          <w:szCs w:val="48"/>
          <w:highlight w:val="none"/>
        </w:rPr>
      </w:pPr>
    </w:p>
    <w:p w14:paraId="110E6D0B">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48"/>
          <w:szCs w:val="48"/>
          <w:highlight w:val="none"/>
        </w:rPr>
      </w:pPr>
    </w:p>
    <w:p w14:paraId="5EB65EBC">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48"/>
          <w:szCs w:val="48"/>
          <w:highlight w:val="none"/>
        </w:rPr>
      </w:pPr>
    </w:p>
    <w:p w14:paraId="1C5218F7">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48"/>
          <w:szCs w:val="48"/>
          <w:highlight w:val="none"/>
        </w:rPr>
      </w:pPr>
    </w:p>
    <w:p w14:paraId="3378FC23">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48"/>
          <w:szCs w:val="48"/>
          <w:highlight w:val="none"/>
        </w:rPr>
      </w:pPr>
    </w:p>
    <w:p w14:paraId="774901CB">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48"/>
          <w:szCs w:val="48"/>
          <w:highlight w:val="none"/>
        </w:rPr>
      </w:pPr>
    </w:p>
    <w:p w14:paraId="3590E6F8">
      <w:pPr>
        <w:jc w:val="center"/>
        <w:rPr>
          <w:rFonts w:hint="eastAsia"/>
          <w:b/>
          <w:bCs/>
          <w:color w:val="auto"/>
          <w:sz w:val="48"/>
          <w:szCs w:val="48"/>
          <w:highlight w:val="none"/>
          <w:lang w:val="en-US" w:eastAsia="zh-CN"/>
        </w:rPr>
      </w:pPr>
      <w:r>
        <w:rPr>
          <w:rFonts w:hint="eastAsia"/>
          <w:b/>
          <w:bCs/>
          <w:color w:val="auto"/>
          <w:sz w:val="48"/>
          <w:szCs w:val="48"/>
          <w:highlight w:val="none"/>
          <w:lang w:val="en-US" w:eastAsia="zh-CN"/>
        </w:rPr>
        <w:t>内蒙古自治区2026年度</w:t>
      </w:r>
    </w:p>
    <w:p w14:paraId="4D7781A4">
      <w:pPr>
        <w:jc w:val="center"/>
        <w:rPr>
          <w:rFonts w:hint="eastAsia"/>
          <w:b/>
          <w:bCs/>
          <w:color w:val="auto"/>
          <w:sz w:val="48"/>
          <w:szCs w:val="48"/>
          <w:highlight w:val="none"/>
          <w:lang w:val="en-US" w:eastAsia="zh-CN"/>
        </w:rPr>
      </w:pPr>
      <w:r>
        <w:rPr>
          <w:rFonts w:hint="eastAsia"/>
          <w:b/>
          <w:bCs/>
          <w:color w:val="auto"/>
          <w:sz w:val="48"/>
          <w:szCs w:val="48"/>
          <w:highlight w:val="none"/>
          <w:lang w:val="en-US" w:eastAsia="zh-CN"/>
        </w:rPr>
        <w:t>和林格尔县人民检察院</w:t>
      </w:r>
    </w:p>
    <w:p w14:paraId="2B1EF802">
      <w:pPr>
        <w:jc w:val="center"/>
        <w:rPr>
          <w:rFonts w:hint="eastAsia"/>
          <w:b/>
          <w:bCs/>
          <w:color w:val="auto"/>
          <w:sz w:val="48"/>
          <w:szCs w:val="48"/>
          <w:highlight w:val="none"/>
          <w:lang w:val="en-US" w:eastAsia="zh-CN"/>
        </w:rPr>
      </w:pPr>
      <w:r>
        <w:rPr>
          <w:rFonts w:hint="eastAsia"/>
          <w:b/>
          <w:bCs/>
          <w:color w:val="auto"/>
          <w:sz w:val="48"/>
          <w:szCs w:val="48"/>
          <w:highlight w:val="none"/>
          <w:lang w:val="en-US" w:eastAsia="zh-CN"/>
        </w:rPr>
        <w:t>预算公开报告</w:t>
      </w:r>
    </w:p>
    <w:p w14:paraId="26A9A3E2">
      <w:pPr>
        <w:jc w:val="center"/>
        <w:rPr>
          <w:rFonts w:hint="eastAsia"/>
          <w:color w:val="auto"/>
          <w:sz w:val="48"/>
          <w:szCs w:val="48"/>
          <w:highlight w:val="none"/>
        </w:rPr>
      </w:pPr>
    </w:p>
    <w:p w14:paraId="47A86489">
      <w:pPr>
        <w:jc w:val="center"/>
        <w:rPr>
          <w:rFonts w:hint="eastAsia"/>
          <w:color w:val="auto"/>
          <w:sz w:val="48"/>
          <w:szCs w:val="48"/>
          <w:highlight w:val="none"/>
        </w:rPr>
      </w:pPr>
    </w:p>
    <w:p w14:paraId="63FBF6CB">
      <w:pPr>
        <w:jc w:val="center"/>
        <w:rPr>
          <w:rFonts w:hint="eastAsia"/>
          <w:color w:val="auto"/>
          <w:sz w:val="48"/>
          <w:szCs w:val="48"/>
          <w:highlight w:val="none"/>
        </w:rPr>
      </w:pPr>
    </w:p>
    <w:p w14:paraId="2A9339D3">
      <w:pPr>
        <w:jc w:val="center"/>
        <w:rPr>
          <w:rFonts w:hint="eastAsia"/>
          <w:color w:val="auto"/>
          <w:sz w:val="48"/>
          <w:szCs w:val="48"/>
          <w:highlight w:val="none"/>
        </w:rPr>
      </w:pPr>
    </w:p>
    <w:p w14:paraId="1DF679A0">
      <w:pPr>
        <w:jc w:val="center"/>
        <w:rPr>
          <w:rFonts w:hint="eastAsia"/>
          <w:color w:val="auto"/>
          <w:sz w:val="48"/>
          <w:szCs w:val="48"/>
          <w:highlight w:val="none"/>
        </w:rPr>
      </w:pPr>
    </w:p>
    <w:p w14:paraId="3698425E">
      <w:pPr>
        <w:jc w:val="center"/>
        <w:rPr>
          <w:rFonts w:hint="eastAsia"/>
          <w:color w:val="auto"/>
          <w:sz w:val="48"/>
          <w:szCs w:val="48"/>
          <w:highlight w:val="none"/>
        </w:rPr>
      </w:pPr>
    </w:p>
    <w:p w14:paraId="66A9F7E7">
      <w:pPr>
        <w:jc w:val="center"/>
        <w:rPr>
          <w:rFonts w:hint="eastAsia"/>
          <w:color w:val="auto"/>
          <w:sz w:val="48"/>
          <w:szCs w:val="48"/>
          <w:highlight w:val="none"/>
        </w:rPr>
      </w:pPr>
    </w:p>
    <w:p w14:paraId="0883E4D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黑体" w:hAnsi="黑体" w:eastAsia="黑体" w:cs="黑体"/>
          <w:i w:val="0"/>
          <w:iCs w:val="0"/>
          <w:color w:val="auto"/>
          <w:highlight w:val="none"/>
          <w:u w:val="none"/>
        </w:rPr>
      </w:pPr>
      <w:r>
        <w:rPr>
          <w:rFonts w:hint="eastAsia" w:ascii="黑体" w:hAnsi="黑体" w:eastAsia="黑体" w:cs="黑体"/>
          <w:i w:val="0"/>
          <w:iCs w:val="0"/>
          <w:color w:val="auto"/>
          <w:sz w:val="32"/>
          <w:szCs w:val="32"/>
          <w:highlight w:val="none"/>
          <w:u w:val="none"/>
          <w:lang w:val="en-US" w:eastAsia="zh-CN"/>
        </w:rPr>
        <w:t>批复</w:t>
      </w:r>
      <w:r>
        <w:rPr>
          <w:rFonts w:ascii="黑体" w:hAnsi="黑体" w:eastAsia="黑体" w:cs="黑体"/>
          <w:i w:val="0"/>
          <w:iCs w:val="0"/>
          <w:color w:val="auto"/>
          <w:sz w:val="32"/>
          <w:szCs w:val="32"/>
          <w:highlight w:val="none"/>
          <w:u w:val="none"/>
        </w:rPr>
        <w:t>时间：</w:t>
      </w:r>
      <w:r>
        <w:rPr>
          <w:rFonts w:hint="eastAsia" w:ascii="黑体" w:hAnsi="黑体" w:eastAsia="黑体" w:cs="黑体"/>
          <w:i w:val="0"/>
          <w:iCs w:val="0"/>
          <w:color w:val="auto"/>
          <w:sz w:val="32"/>
          <w:szCs w:val="32"/>
          <w:highlight w:val="none"/>
          <w:u w:val="none"/>
          <w:lang w:val="en-US" w:eastAsia="zh-CN"/>
        </w:rPr>
        <w:t>2026</w:t>
      </w:r>
      <w:r>
        <w:rPr>
          <w:rFonts w:ascii="黑体" w:hAnsi="黑体" w:eastAsia="黑体" w:cs="黑体"/>
          <w:i w:val="0"/>
          <w:iCs w:val="0"/>
          <w:color w:val="auto"/>
          <w:sz w:val="32"/>
          <w:szCs w:val="32"/>
          <w:highlight w:val="none"/>
          <w:u w:val="none"/>
        </w:rPr>
        <w:t>年</w:t>
      </w:r>
      <w:r>
        <w:rPr>
          <w:rFonts w:hint="eastAsia" w:ascii="黑体" w:hAnsi="黑体" w:eastAsia="黑体" w:cs="黑体"/>
          <w:i w:val="0"/>
          <w:iCs w:val="0"/>
          <w:color w:val="auto"/>
          <w:sz w:val="32"/>
          <w:szCs w:val="32"/>
          <w:highlight w:val="none"/>
          <w:u w:val="none"/>
          <w:lang w:val="en-US" w:eastAsia="zh-CN"/>
        </w:rPr>
        <w:t>2</w:t>
      </w:r>
      <w:r>
        <w:rPr>
          <w:rFonts w:ascii="黑体" w:hAnsi="黑体" w:eastAsia="黑体" w:cs="黑体"/>
          <w:i w:val="0"/>
          <w:iCs w:val="0"/>
          <w:color w:val="auto"/>
          <w:sz w:val="32"/>
          <w:szCs w:val="32"/>
          <w:highlight w:val="none"/>
          <w:u w:val="none"/>
        </w:rPr>
        <w:t>月</w:t>
      </w:r>
      <w:r>
        <w:rPr>
          <w:rFonts w:hint="eastAsia" w:ascii="黑体" w:hAnsi="黑体" w:eastAsia="黑体" w:cs="黑体"/>
          <w:i w:val="0"/>
          <w:iCs w:val="0"/>
          <w:color w:val="auto"/>
          <w:sz w:val="32"/>
          <w:szCs w:val="32"/>
          <w:highlight w:val="none"/>
          <w:u w:val="none"/>
          <w:lang w:val="en-US" w:eastAsia="zh-CN"/>
        </w:rPr>
        <w:t>9</w:t>
      </w:r>
      <w:r>
        <w:rPr>
          <w:rFonts w:ascii="黑体" w:hAnsi="黑体" w:eastAsia="黑体" w:cs="黑体"/>
          <w:i w:val="0"/>
          <w:iCs w:val="0"/>
          <w:color w:val="auto"/>
          <w:sz w:val="32"/>
          <w:szCs w:val="32"/>
          <w:highlight w:val="none"/>
          <w:u w:val="none"/>
        </w:rPr>
        <w:t>日</w:t>
      </w:r>
    </w:p>
    <w:p w14:paraId="671CE65B">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黑体" w:hAnsi="黑体" w:eastAsia="黑体" w:cs="黑体"/>
          <w:i w:val="0"/>
          <w:iCs w:val="0"/>
          <w:color w:val="auto"/>
          <w:highlight w:val="none"/>
          <w:u w:val="none"/>
        </w:rPr>
      </w:pPr>
      <w:r>
        <w:rPr>
          <w:rFonts w:ascii="黑体" w:hAnsi="黑体" w:eastAsia="黑体" w:cs="黑体"/>
          <w:i w:val="0"/>
          <w:iCs w:val="0"/>
          <w:color w:val="auto"/>
          <w:sz w:val="32"/>
          <w:szCs w:val="32"/>
          <w:highlight w:val="none"/>
          <w:u w:val="none"/>
        </w:rPr>
        <w:t>公开时间：</w:t>
      </w:r>
      <w:r>
        <w:rPr>
          <w:rFonts w:hint="eastAsia" w:ascii="黑体" w:hAnsi="黑体" w:eastAsia="黑体" w:cs="黑体"/>
          <w:i w:val="0"/>
          <w:iCs w:val="0"/>
          <w:color w:val="auto"/>
          <w:sz w:val="32"/>
          <w:szCs w:val="32"/>
          <w:highlight w:val="none"/>
          <w:u w:val="none"/>
          <w:lang w:val="en-US" w:eastAsia="zh-CN"/>
        </w:rPr>
        <w:t>2026</w:t>
      </w:r>
      <w:r>
        <w:rPr>
          <w:rFonts w:ascii="黑体" w:hAnsi="黑体" w:eastAsia="黑体" w:cs="黑体"/>
          <w:i w:val="0"/>
          <w:iCs w:val="0"/>
          <w:color w:val="auto"/>
          <w:sz w:val="32"/>
          <w:szCs w:val="32"/>
          <w:highlight w:val="none"/>
          <w:u w:val="none"/>
        </w:rPr>
        <w:t>年</w:t>
      </w:r>
      <w:r>
        <w:rPr>
          <w:rFonts w:hint="eastAsia" w:ascii="黑体" w:hAnsi="黑体" w:eastAsia="黑体" w:cs="黑体"/>
          <w:i w:val="0"/>
          <w:iCs w:val="0"/>
          <w:color w:val="auto"/>
          <w:sz w:val="32"/>
          <w:szCs w:val="32"/>
          <w:highlight w:val="none"/>
          <w:u w:val="none"/>
          <w:lang w:val="en-US" w:eastAsia="zh-CN"/>
        </w:rPr>
        <w:t>2</w:t>
      </w:r>
      <w:r>
        <w:rPr>
          <w:rFonts w:ascii="黑体" w:hAnsi="黑体" w:eastAsia="黑体" w:cs="黑体"/>
          <w:i w:val="0"/>
          <w:iCs w:val="0"/>
          <w:color w:val="auto"/>
          <w:sz w:val="32"/>
          <w:szCs w:val="32"/>
          <w:highlight w:val="none"/>
          <w:u w:val="none"/>
        </w:rPr>
        <w:t>月</w:t>
      </w:r>
      <w:r>
        <w:rPr>
          <w:rFonts w:hint="eastAsia" w:ascii="黑体" w:hAnsi="黑体" w:eastAsia="黑体" w:cs="黑体"/>
          <w:i w:val="0"/>
          <w:iCs w:val="0"/>
          <w:color w:val="auto"/>
          <w:sz w:val="32"/>
          <w:szCs w:val="32"/>
          <w:highlight w:val="none"/>
          <w:u w:val="none"/>
          <w:lang w:val="en-US" w:eastAsia="zh-CN"/>
        </w:rPr>
        <w:t>28</w:t>
      </w:r>
      <w:r>
        <w:rPr>
          <w:rFonts w:ascii="黑体" w:hAnsi="黑体" w:eastAsia="黑体" w:cs="黑体"/>
          <w:i w:val="0"/>
          <w:iCs w:val="0"/>
          <w:color w:val="auto"/>
          <w:sz w:val="32"/>
          <w:szCs w:val="32"/>
          <w:highlight w:val="none"/>
          <w:u w:val="none"/>
        </w:rPr>
        <w:t>日</w:t>
      </w:r>
    </w:p>
    <w:p w14:paraId="6A19CCF4">
      <w:pPr>
        <w:jc w:val="center"/>
        <w:rPr>
          <w:rFonts w:hint="eastAsia"/>
          <w:color w:val="auto"/>
          <w:sz w:val="36"/>
          <w:szCs w:val="36"/>
          <w:highlight w:val="none"/>
          <w:lang w:val="en-US" w:eastAsia="zh-CN"/>
        </w:rPr>
      </w:pPr>
    </w:p>
    <w:p w14:paraId="3706E1F4">
      <w:pPr>
        <w:jc w:val="center"/>
        <w:rPr>
          <w:rFonts w:hint="eastAsia"/>
          <w:color w:val="auto"/>
          <w:sz w:val="36"/>
          <w:szCs w:val="36"/>
          <w:highlight w:val="none"/>
          <w:lang w:val="en-US" w:eastAsia="zh-CN"/>
        </w:rPr>
      </w:pPr>
    </w:p>
    <w:p w14:paraId="42B72DA0">
      <w:pPr>
        <w:jc w:val="center"/>
        <w:rPr>
          <w:rFonts w:hint="eastAsia"/>
          <w:color w:val="auto"/>
          <w:sz w:val="36"/>
          <w:szCs w:val="36"/>
          <w:highlight w:val="none"/>
          <w:lang w:val="en-US" w:eastAsia="zh-CN"/>
        </w:rPr>
      </w:pPr>
    </w:p>
    <w:p w14:paraId="7565DA78">
      <w:pPr>
        <w:pStyle w:val="4"/>
        <w:tabs>
          <w:tab w:val="left" w:pos="4533"/>
        </w:tabs>
        <w:spacing w:before="0" w:after="0" w:line="415" w:lineRule="auto"/>
        <w:ind w:firstLine="0" w:firstLineChars="0"/>
        <w:jc w:val="center"/>
        <w:rPr>
          <w:color w:val="auto"/>
          <w:highlight w:val="none"/>
        </w:rPr>
      </w:pPr>
      <w:r>
        <w:rPr>
          <w:color w:val="auto"/>
          <w:sz w:val="44"/>
          <w:szCs w:val="44"/>
          <w:highlight w:val="none"/>
        </w:rPr>
        <w:t>目</w:t>
      </w:r>
      <w:r>
        <w:rPr>
          <w:rFonts w:hint="eastAsia" w:eastAsia="宋体"/>
          <w:color w:val="auto"/>
          <w:sz w:val="44"/>
          <w:szCs w:val="44"/>
          <w:highlight w:val="none"/>
        </w:rPr>
        <w:t xml:space="preserve">  </w:t>
      </w:r>
      <w:r>
        <w:rPr>
          <w:rFonts w:hint="eastAsia"/>
          <w:color w:val="auto"/>
          <w:sz w:val="44"/>
          <w:szCs w:val="44"/>
          <w:highlight w:val="none"/>
        </w:rPr>
        <w:t xml:space="preserve">  </w:t>
      </w:r>
      <w:r>
        <w:rPr>
          <w:color w:val="auto"/>
          <w:sz w:val="44"/>
          <w:szCs w:val="44"/>
          <w:highlight w:val="none"/>
        </w:rPr>
        <w:t>录</w:t>
      </w:r>
    </w:p>
    <w:p w14:paraId="08C5242A">
      <w:pPr>
        <w:pStyle w:val="6"/>
        <w:spacing w:after="0" w:line="360" w:lineRule="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单位概况</w:t>
      </w:r>
    </w:p>
    <w:p w14:paraId="54D3F62C">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w w:val="95"/>
          <w:sz w:val="32"/>
          <w:szCs w:val="32"/>
          <w:highlight w:val="none"/>
        </w:rPr>
        <w:t>一、主要职能职责</w:t>
      </w:r>
    </w:p>
    <w:p w14:paraId="613E0F4E">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二、单位机构设置及预算单位构成情况</w:t>
      </w:r>
    </w:p>
    <w:p w14:paraId="364142FA">
      <w:pPr>
        <w:pStyle w:val="6"/>
        <w:spacing w:after="0" w:line="360" w:lineRule="auto"/>
        <w:rPr>
          <w:rFonts w:ascii="黑体" w:hAnsi="黑体" w:eastAsia="黑体" w:cs="黑体"/>
          <w:color w:val="auto"/>
          <w:sz w:val="32"/>
          <w:szCs w:val="32"/>
          <w:highlight w:val="none"/>
        </w:rPr>
      </w:pPr>
      <w:r>
        <w:rPr>
          <w:rFonts w:hint="eastAsia" w:ascii="仿宋" w:hAnsi="仿宋" w:eastAsia="仿宋" w:cs="仿宋"/>
          <w:color w:val="auto"/>
          <w:sz w:val="32"/>
          <w:szCs w:val="32"/>
          <w:highlight w:val="none"/>
        </w:rPr>
        <w:t>三、</w:t>
      </w:r>
      <w:r>
        <w:rPr>
          <w:rFonts w:hint="eastAsia" w:ascii="仿宋" w:hAnsi="仿宋" w:eastAsia="仿宋" w:cs="仿宋"/>
          <w:color w:val="auto"/>
          <w:sz w:val="32"/>
          <w:szCs w:val="32"/>
          <w:highlight w:val="none"/>
          <w:lang w:val="en-US" w:eastAsia="zh-CN"/>
        </w:rPr>
        <w:t>2026</w:t>
      </w:r>
      <w:r>
        <w:rPr>
          <w:rFonts w:hint="eastAsia" w:ascii="仿宋" w:hAnsi="仿宋" w:eastAsia="仿宋" w:cs="仿宋"/>
          <w:color w:val="auto"/>
          <w:sz w:val="32"/>
          <w:szCs w:val="32"/>
          <w:highlight w:val="none"/>
        </w:rPr>
        <w:t>年度单位主要工作任务及目标</w:t>
      </w:r>
    </w:p>
    <w:p w14:paraId="13C387AB">
      <w:pPr>
        <w:pStyle w:val="6"/>
        <w:spacing w:after="0" w:line="360" w:lineRule="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 xml:space="preserve">部分 </w:t>
      </w:r>
      <w:r>
        <w:rPr>
          <w:rFonts w:hint="eastAsia" w:ascii="黑体" w:hAnsi="黑体" w:eastAsia="黑体" w:cs="黑体"/>
          <w:color w:val="auto"/>
          <w:sz w:val="32"/>
          <w:szCs w:val="32"/>
          <w:highlight w:val="none"/>
          <w:lang w:val="en-US" w:eastAsia="zh-CN"/>
        </w:rPr>
        <w:t>2026</w:t>
      </w:r>
      <w:r>
        <w:rPr>
          <w:rFonts w:hint="eastAsia" w:ascii="黑体" w:hAnsi="黑体" w:eastAsia="黑体" w:cs="黑体"/>
          <w:color w:val="auto"/>
          <w:sz w:val="32"/>
          <w:szCs w:val="32"/>
          <w:highlight w:val="none"/>
        </w:rPr>
        <w:t>年度单位预算情况说明</w:t>
      </w:r>
    </w:p>
    <w:p w14:paraId="62B2CDA9">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一、收支预算总体情况说明</w:t>
      </w:r>
    </w:p>
    <w:p w14:paraId="685094FC">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二、收入预算情况说明</w:t>
      </w:r>
    </w:p>
    <w:p w14:paraId="44A23EFA">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三、支出预算情况说明</w:t>
      </w:r>
    </w:p>
    <w:p w14:paraId="45F7BC34">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四、财政拨款收支预算总体情况说明</w:t>
      </w:r>
    </w:p>
    <w:p w14:paraId="694FBAD1">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五、一般公共预算支出预算情况说明</w:t>
      </w:r>
    </w:p>
    <w:p w14:paraId="10BA677E">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六、一般公共预算基本支出预算情况说明</w:t>
      </w:r>
    </w:p>
    <w:p w14:paraId="09E0E3D3">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七、一般公共预算“三公”经费支出预算情况说明</w:t>
      </w:r>
    </w:p>
    <w:p w14:paraId="6388B551">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八、政府性基金预算支出预算情况说明</w:t>
      </w:r>
    </w:p>
    <w:p w14:paraId="664D663C">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九、国有资本经营预算支出预算情况说明</w:t>
      </w:r>
    </w:p>
    <w:p w14:paraId="73897C18">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十、项目支出预算情况说明</w:t>
      </w:r>
    </w:p>
    <w:p w14:paraId="65CCA1C0">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十一、一般公共预算机关运行经费支出预算情况说明</w:t>
      </w:r>
    </w:p>
    <w:p w14:paraId="7C0FAAFB">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十二、政府采购支出预算情况说明</w:t>
      </w:r>
    </w:p>
    <w:p w14:paraId="450D36B1">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十三、国有资产占用情况说明</w:t>
      </w:r>
    </w:p>
    <w:p w14:paraId="0AA4BAA7">
      <w:pPr>
        <w:pStyle w:val="6"/>
        <w:spacing w:after="0"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十四、预算绩效目标设置情况说明</w:t>
      </w:r>
    </w:p>
    <w:p w14:paraId="2C217103">
      <w:pPr>
        <w:jc w:val="both"/>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部分 名词解释</w:t>
      </w:r>
    </w:p>
    <w:p w14:paraId="2876BF23">
      <w:pPr>
        <w:pStyle w:val="2"/>
        <w:ind w:left="0" w:leftChars="0" w:firstLine="0" w:firstLineChars="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 xml:space="preserve">部分 </w:t>
      </w:r>
      <w:r>
        <w:rPr>
          <w:rFonts w:hint="eastAsia" w:ascii="黑体" w:hAnsi="黑体" w:eastAsia="黑体" w:cs="黑体"/>
          <w:color w:val="auto"/>
          <w:sz w:val="32"/>
          <w:szCs w:val="32"/>
          <w:highlight w:val="none"/>
          <w:lang w:val="en-US" w:eastAsia="zh-CN"/>
        </w:rPr>
        <w:t>预算公开联系方式信息反馈渠道</w:t>
      </w:r>
    </w:p>
    <w:p w14:paraId="1787ADD2">
      <w:pPr>
        <w:pStyle w:val="6"/>
        <w:spacing w:after="0" w:line="360" w:lineRule="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 xml:space="preserve">部分 </w:t>
      </w:r>
      <w:r>
        <w:rPr>
          <w:rFonts w:hint="eastAsia" w:ascii="黑体" w:hAnsi="黑体" w:eastAsia="黑体" w:cs="黑体"/>
          <w:color w:val="auto"/>
          <w:sz w:val="32"/>
          <w:szCs w:val="32"/>
          <w:highlight w:val="none"/>
          <w:lang w:val="en-US" w:eastAsia="zh-CN"/>
        </w:rPr>
        <w:t>2026</w:t>
      </w:r>
      <w:r>
        <w:rPr>
          <w:rFonts w:hint="eastAsia" w:ascii="黑体" w:hAnsi="黑体" w:eastAsia="黑体" w:cs="黑体"/>
          <w:color w:val="auto"/>
          <w:sz w:val="32"/>
          <w:szCs w:val="32"/>
          <w:highlight w:val="none"/>
        </w:rPr>
        <w:t>年度单位预算表</w:t>
      </w:r>
    </w:p>
    <w:p w14:paraId="445FE5B0">
      <w:pPr>
        <w:pStyle w:val="6"/>
        <w:numPr>
          <w:ilvl w:val="0"/>
          <w:numId w:val="1"/>
        </w:numPr>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收支总表</w:t>
      </w:r>
    </w:p>
    <w:p w14:paraId="138FC488">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二、收入总表</w:t>
      </w:r>
    </w:p>
    <w:p w14:paraId="6DF28649">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w w:val="95"/>
          <w:sz w:val="32"/>
          <w:szCs w:val="32"/>
          <w:highlight w:val="none"/>
        </w:rPr>
        <w:t>三、支出总表</w:t>
      </w:r>
    </w:p>
    <w:p w14:paraId="6613DEE0">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w w:val="95"/>
          <w:sz w:val="32"/>
          <w:szCs w:val="32"/>
          <w:highlight w:val="none"/>
        </w:rPr>
        <w:t>四、财政拨款收支总表</w:t>
      </w:r>
    </w:p>
    <w:p w14:paraId="47176AE4">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w w:val="95"/>
          <w:sz w:val="32"/>
          <w:szCs w:val="32"/>
          <w:highlight w:val="none"/>
        </w:rPr>
        <w:t>五、一般公共预算支出表</w:t>
      </w:r>
    </w:p>
    <w:p w14:paraId="16D0766E">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w w:val="95"/>
          <w:sz w:val="32"/>
          <w:szCs w:val="32"/>
          <w:highlight w:val="none"/>
        </w:rPr>
        <w:t>六、一般公共预算基本支出表</w:t>
      </w:r>
    </w:p>
    <w:p w14:paraId="6D30E97D">
      <w:pPr>
        <w:pStyle w:val="6"/>
        <w:spacing w:after="0" w:line="360" w:lineRule="auto"/>
        <w:rPr>
          <w:rFonts w:ascii="仿宋" w:hAnsi="仿宋" w:eastAsia="仿宋" w:cs="仿宋"/>
          <w:color w:val="auto"/>
          <w:spacing w:val="-16"/>
          <w:w w:val="95"/>
          <w:sz w:val="32"/>
          <w:szCs w:val="32"/>
          <w:highlight w:val="none"/>
        </w:rPr>
      </w:pPr>
      <w:r>
        <w:rPr>
          <w:rFonts w:hint="eastAsia" w:ascii="仿宋" w:hAnsi="仿宋" w:eastAsia="仿宋" w:cs="仿宋"/>
          <w:color w:val="auto"/>
          <w:spacing w:val="-17"/>
          <w:w w:val="95"/>
          <w:sz w:val="32"/>
          <w:szCs w:val="32"/>
          <w:highlight w:val="none"/>
        </w:rPr>
        <w:t>七、一般公共预算</w:t>
      </w:r>
      <w:r>
        <w:rPr>
          <w:rFonts w:hint="eastAsia" w:ascii="仿宋" w:hAnsi="仿宋" w:eastAsia="仿宋" w:cs="仿宋"/>
          <w:color w:val="auto"/>
          <w:spacing w:val="-8"/>
          <w:w w:val="95"/>
          <w:sz w:val="32"/>
          <w:szCs w:val="32"/>
          <w:highlight w:val="none"/>
        </w:rPr>
        <w:t>“</w:t>
      </w:r>
      <w:r>
        <w:rPr>
          <w:rFonts w:hint="eastAsia" w:ascii="仿宋" w:hAnsi="仿宋" w:eastAsia="仿宋" w:cs="仿宋"/>
          <w:color w:val="auto"/>
          <w:spacing w:val="-15"/>
          <w:w w:val="95"/>
          <w:sz w:val="32"/>
          <w:szCs w:val="32"/>
          <w:highlight w:val="none"/>
        </w:rPr>
        <w:t>三公</w:t>
      </w:r>
      <w:r>
        <w:rPr>
          <w:rFonts w:hint="eastAsia" w:ascii="仿宋" w:hAnsi="仿宋" w:eastAsia="仿宋" w:cs="仿宋"/>
          <w:color w:val="auto"/>
          <w:spacing w:val="-10"/>
          <w:w w:val="95"/>
          <w:sz w:val="32"/>
          <w:szCs w:val="32"/>
          <w:highlight w:val="none"/>
        </w:rPr>
        <w:t>”</w:t>
      </w:r>
      <w:r>
        <w:rPr>
          <w:rFonts w:hint="eastAsia" w:ascii="仿宋" w:hAnsi="仿宋" w:eastAsia="仿宋" w:cs="仿宋"/>
          <w:color w:val="auto"/>
          <w:spacing w:val="-16"/>
          <w:w w:val="95"/>
          <w:sz w:val="32"/>
          <w:szCs w:val="32"/>
          <w:highlight w:val="none"/>
        </w:rPr>
        <w:t>经费支出表</w:t>
      </w:r>
    </w:p>
    <w:p w14:paraId="0CAD87FC">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pacing w:val="-16"/>
          <w:w w:val="95"/>
          <w:sz w:val="32"/>
          <w:szCs w:val="32"/>
          <w:highlight w:val="none"/>
        </w:rPr>
        <w:t>八、政府性基金预算支出表</w:t>
      </w:r>
    </w:p>
    <w:p w14:paraId="18283A1D">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九、国有资本经营预算支出表</w:t>
      </w:r>
    </w:p>
    <w:p w14:paraId="4561C3E3">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十、项目支出表</w:t>
      </w:r>
    </w:p>
    <w:p w14:paraId="2D9AB28A">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十一、项目绩效目标表</w:t>
      </w:r>
    </w:p>
    <w:p w14:paraId="4A1C68B4">
      <w:pPr>
        <w:pStyle w:val="6"/>
        <w:spacing w:after="0" w:line="360" w:lineRule="auto"/>
        <w:rPr>
          <w:rFonts w:ascii="仿宋" w:hAnsi="仿宋" w:eastAsia="仿宋" w:cs="仿宋"/>
          <w:color w:val="auto"/>
          <w:sz w:val="32"/>
          <w:szCs w:val="32"/>
          <w:highlight w:val="none"/>
        </w:rPr>
      </w:pPr>
      <w:r>
        <w:rPr>
          <w:rFonts w:hint="eastAsia" w:ascii="仿宋" w:hAnsi="仿宋" w:eastAsia="仿宋" w:cs="仿宋"/>
          <w:color w:val="auto"/>
          <w:w w:val="95"/>
          <w:sz w:val="32"/>
          <w:szCs w:val="32"/>
          <w:highlight w:val="none"/>
        </w:rPr>
        <w:t>十二、政府采购预算表</w:t>
      </w:r>
    </w:p>
    <w:p w14:paraId="07B35124">
      <w:pPr>
        <w:pStyle w:val="2"/>
        <w:rPr>
          <w:rFonts w:hint="eastAsia" w:ascii="黑体" w:hAnsi="黑体" w:eastAsia="黑体" w:cs="黑体"/>
          <w:color w:val="auto"/>
          <w:sz w:val="32"/>
          <w:szCs w:val="32"/>
          <w:highlight w:val="none"/>
        </w:rPr>
      </w:pPr>
    </w:p>
    <w:p w14:paraId="775D8F4A">
      <w:pPr>
        <w:pStyle w:val="2"/>
        <w:rPr>
          <w:rFonts w:hint="eastAsia" w:ascii="黑体" w:hAnsi="黑体" w:eastAsia="黑体" w:cs="黑体"/>
          <w:color w:val="auto"/>
          <w:sz w:val="32"/>
          <w:szCs w:val="32"/>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14:paraId="32ACF56C">
      <w:pPr>
        <w:pStyle w:val="5"/>
        <w:keepNext/>
        <w:keepLines/>
        <w:pageBreakBefore w:val="0"/>
        <w:widowControl w:val="0"/>
        <w:tabs>
          <w:tab w:val="left" w:pos="4392"/>
        </w:tabs>
        <w:kinsoku/>
        <w:wordWrap/>
        <w:overflowPunct/>
        <w:topLinePunct w:val="0"/>
        <w:autoSpaceDE/>
        <w:autoSpaceDN/>
        <w:bidi w:val="0"/>
        <w:adjustRightInd/>
        <w:snapToGrid/>
        <w:spacing w:before="0" w:after="0" w:line="360" w:lineRule="auto"/>
        <w:jc w:val="center"/>
        <w:textAlignment w:val="auto"/>
        <w:rPr>
          <w:color w:val="auto"/>
          <w:highlight w:val="none"/>
        </w:rPr>
      </w:pPr>
      <w:r>
        <w:rPr>
          <w:rFonts w:hint="eastAsia" w:ascii="微软雅黑" w:hAnsi="微软雅黑" w:eastAsia="微软雅黑" w:cs="微软雅黑"/>
          <w:color w:val="auto"/>
          <w:sz w:val="36"/>
          <w:szCs w:val="36"/>
          <w:highlight w:val="none"/>
        </w:rPr>
        <w:t>第</w:t>
      </w:r>
      <w:r>
        <w:rPr>
          <w:rFonts w:hint="eastAsia" w:ascii="微软雅黑" w:hAnsi="微软雅黑" w:eastAsia="微软雅黑" w:cs="微软雅黑"/>
          <w:color w:val="auto"/>
          <w:sz w:val="36"/>
          <w:szCs w:val="36"/>
          <w:highlight w:val="none"/>
          <w:lang w:eastAsia="zh-CN"/>
        </w:rPr>
        <w:t>一</w:t>
      </w:r>
      <w:r>
        <w:rPr>
          <w:rFonts w:hint="eastAsia" w:ascii="微软雅黑" w:hAnsi="微软雅黑" w:eastAsia="微软雅黑" w:cs="微软雅黑"/>
          <w:color w:val="auto"/>
          <w:sz w:val="36"/>
          <w:szCs w:val="36"/>
          <w:highlight w:val="none"/>
        </w:rPr>
        <w:t>部分  单位概况</w:t>
      </w:r>
    </w:p>
    <w:p w14:paraId="16A899B8">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outlineLvl w:val="0"/>
        <w:rPr>
          <w:rFonts w:hint="eastAsia" w:eastAsia="黑体" w:cs="黑体"/>
          <w:b/>
          <w:bCs/>
          <w:color w:val="auto"/>
          <w:sz w:val="32"/>
          <w:szCs w:val="36"/>
          <w:highlight w:val="none"/>
        </w:rPr>
      </w:pPr>
      <w:r>
        <w:rPr>
          <w:rFonts w:hint="eastAsia" w:eastAsia="黑体" w:cs="黑体"/>
          <w:b/>
          <w:bCs/>
          <w:color w:val="auto"/>
          <w:sz w:val="32"/>
          <w:szCs w:val="36"/>
          <w:highlight w:val="none"/>
        </w:rPr>
        <w:t>一、主要职能职责</w:t>
      </w:r>
    </w:p>
    <w:p w14:paraId="22FBF60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eastAsia="zh-CN"/>
        </w:rPr>
        <w:t>（</w:t>
      </w:r>
      <w:r>
        <w:rPr>
          <w:rFonts w:hint="eastAsia" w:ascii="仿宋" w:hAnsi="仿宋" w:eastAsia="仿宋" w:cs="仿宋"/>
          <w:b w:val="0"/>
          <w:bCs w:val="0"/>
          <w:color w:val="auto"/>
          <w:sz w:val="32"/>
          <w:szCs w:val="36"/>
          <w:highlight w:val="none"/>
          <w:lang w:val="en-US" w:eastAsia="zh-CN"/>
        </w:rPr>
        <w:t>一</w:t>
      </w:r>
      <w:r>
        <w:rPr>
          <w:rFonts w:hint="eastAsia" w:ascii="仿宋" w:hAnsi="仿宋" w:eastAsia="仿宋" w:cs="仿宋"/>
          <w:b w:val="0"/>
          <w:bCs w:val="0"/>
          <w:color w:val="auto"/>
          <w:sz w:val="32"/>
          <w:szCs w:val="36"/>
          <w:highlight w:val="none"/>
          <w:lang w:eastAsia="zh-CN"/>
        </w:rPr>
        <w:t>）</w:t>
      </w:r>
      <w:r>
        <w:rPr>
          <w:rFonts w:hint="eastAsia" w:ascii="仿宋" w:hAnsi="仿宋" w:eastAsia="仿宋" w:cs="仿宋"/>
          <w:b w:val="0"/>
          <w:bCs w:val="0"/>
          <w:color w:val="auto"/>
          <w:sz w:val="32"/>
          <w:szCs w:val="36"/>
          <w:highlight w:val="none"/>
          <w:lang w:val="en-US" w:eastAsia="zh-CN"/>
        </w:rPr>
        <w:t>单位职能</w:t>
      </w:r>
    </w:p>
    <w:p w14:paraId="39C0B580">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人民检察院是国家的法律监督机关，主要任务是依法履行监督职能，保证国家法律的统一和正确实施。</w:t>
      </w:r>
    </w:p>
    <w:p w14:paraId="190AD66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（二）单位主要职责</w:t>
      </w:r>
    </w:p>
    <w:p w14:paraId="561B04C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1.对县人民代表大会及其常务委员会负责并报告工作，接受其监督;接受上级人民检察院的领导并对其负责。</w:t>
      </w:r>
    </w:p>
    <w:p w14:paraId="02A768DE">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2.依法向县人民代表大会及其常务委员会提出议案。</w:t>
      </w:r>
    </w:p>
    <w:p w14:paraId="58AF1498">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3.对于危害国家安全以及严重破坏国家的政策、法律、政令统一实施的重大犯罪案件，行使检察权。</w:t>
      </w:r>
    </w:p>
    <w:p w14:paraId="2225C489">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4.对于公安机关、国家安全机关等侦查机关侦查的案件进行审查，决定是否逮捕、起诉或者不起诉。并对侦查机关的立案、侦查活动是否合法实行监督。</w:t>
      </w:r>
    </w:p>
    <w:p w14:paraId="1DE4049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5.对刑事案件提起公诉，支持公诉;对于人民法院的刑事判决、裁定是否正确和审判活动是否合法实行监督。</w:t>
      </w:r>
    </w:p>
    <w:p w14:paraId="162C9EC6">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6.对人民法院的民事审判和行政诉讼活动实行法律监督，对人民法院已经发生效力的民事行政判决、裁定，有违反法律、法规规定的，依法提出抗诉。</w:t>
      </w:r>
    </w:p>
    <w:p w14:paraId="66082736">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7.对于监狱、看守所等执行机关执行刑罚的活动是否合法实行监督。对社区矫正活动是否合法实施监督。</w:t>
      </w:r>
    </w:p>
    <w:p w14:paraId="0A8B835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8.向上级检察机关负责本院队伍的思想政治工作、纪检监察工作以及党的思想、组织、作风建设等项工作，依法建院从严治检。</w:t>
      </w:r>
    </w:p>
    <w:p w14:paraId="2F9F6381">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9.规划、管理本院的计划、财务、装备工作和保密、文秘等项工作。</w:t>
      </w:r>
    </w:p>
    <w:p w14:paraId="68586C6E">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10.负责其它应由本院承办的事项。</w:t>
      </w:r>
    </w:p>
    <w:p w14:paraId="01EB0301">
      <w:pPr>
        <w:spacing w:line="360" w:lineRule="auto"/>
        <w:ind w:firstLine="643" w:firstLineChars="200"/>
        <w:outlineLvl w:val="0"/>
        <w:rPr>
          <w:rFonts w:eastAsia="黑体" w:cs="黑体"/>
          <w:b/>
          <w:bCs/>
          <w:color w:val="auto"/>
          <w:sz w:val="32"/>
          <w:szCs w:val="36"/>
          <w:highlight w:val="none"/>
        </w:rPr>
      </w:pPr>
      <w:r>
        <w:rPr>
          <w:rFonts w:hint="eastAsia" w:eastAsia="黑体" w:cs="黑体"/>
          <w:b/>
          <w:bCs/>
          <w:color w:val="auto"/>
          <w:sz w:val="32"/>
          <w:szCs w:val="36"/>
          <w:highlight w:val="none"/>
        </w:rPr>
        <w:t>二、单位机构设置及预算单位构成情况</w:t>
      </w:r>
    </w:p>
    <w:p w14:paraId="25E71303">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（一）根据单位职责分工，本单位内设5个机构包括为办公室、政治部、第一检察部、第二检察部、第三检察部。本单位无下属单位。</w:t>
      </w:r>
    </w:p>
    <w:p w14:paraId="271F635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（二）从预算单位构成看，纳入本单位2026年部门汇总预算编制范围的预算单位共计1家，具体包括：和林格尔县人民检察院。</w:t>
      </w:r>
    </w:p>
    <w:p w14:paraId="3922C2A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机构及人员基本情况</w:t>
      </w:r>
    </w:p>
    <w:p w14:paraId="5167F17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和林格尔县人民检察院是机关单位。单位无内设机构</w:t>
      </w:r>
      <w:r>
        <w:rPr>
          <w:rFonts w:hint="eastAsia" w:ascii="仿宋" w:hAnsi="仿宋" w:eastAsia="仿宋" w:cs="仿宋"/>
          <w:color w:val="auto"/>
          <w:sz w:val="32"/>
          <w:szCs w:val="32"/>
          <w:highlight w:val="none"/>
          <w:lang w:eastAsia="zh-CN"/>
        </w:rPr>
        <w:t>。</w:t>
      </w:r>
    </w:p>
    <w:p w14:paraId="19E3C84F">
      <w:pPr>
        <w:keepNext w:val="0"/>
        <w:keepLines w:val="0"/>
        <w:pageBreakBefore w:val="0"/>
        <w:widowControl w:val="0"/>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color w:val="auto"/>
          <w:kern w:val="0"/>
          <w:sz w:val="32"/>
          <w:szCs w:val="32"/>
          <w:highlight w:val="none"/>
          <w:lang w:val="en-US" w:eastAsia="zh-CN" w:bidi="ar"/>
        </w:rPr>
      </w:pPr>
      <w:r>
        <w:rPr>
          <w:rFonts w:hint="eastAsia" w:ascii="仿宋" w:hAnsi="仿宋" w:eastAsia="仿宋" w:cs="仿宋"/>
          <w:color w:val="auto"/>
          <w:kern w:val="0"/>
          <w:sz w:val="32"/>
          <w:szCs w:val="32"/>
          <w:highlight w:val="none"/>
          <w:lang w:val="en-US" w:eastAsia="zh-CN" w:bidi="ar"/>
        </w:rPr>
        <w:t>我院编制数共42个，其中，政法编制数35个，事业编制数7个。实有人数62人，其中：在职人员40人，长聘人员22人，离休人员0人、退休人员0人，较上年在职人员增加1人，主要原因为本年新调入1人。</w:t>
      </w:r>
    </w:p>
    <w:p w14:paraId="0AF7BAE5">
      <w:pPr>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br w:type="page"/>
      </w:r>
    </w:p>
    <w:p w14:paraId="458F3568">
      <w:pPr>
        <w:keepNext w:val="0"/>
        <w:keepLines w:val="0"/>
        <w:pageBreakBefore w:val="0"/>
        <w:widowControl w:val="0"/>
        <w:suppressLineNumbers w:val="0"/>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2.单位设置</w:t>
      </w:r>
    </w:p>
    <w:p w14:paraId="3275EB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jc w:val="center"/>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纳入本单位2026年部门预算编制范围的单位情况如下：</w:t>
      </w:r>
    </w:p>
    <w:p w14:paraId="2045DF84">
      <w:pPr>
        <w:pStyle w:val="2"/>
        <w:keepNext w:val="0"/>
        <w:keepLines w:val="0"/>
        <w:pageBreakBefore w:val="0"/>
        <w:widowControl w:val="0"/>
        <w:kinsoku/>
        <w:wordWrap/>
        <w:overflowPunct/>
        <w:topLinePunct w:val="0"/>
        <w:autoSpaceDE/>
        <w:autoSpaceDN/>
        <w:bidi w:val="0"/>
        <w:adjustRightInd/>
        <w:snapToGrid/>
        <w:spacing w:after="0"/>
        <w:ind w:left="0" w:leftChars="0" w:firstLine="643" w:firstLineChars="200"/>
        <w:jc w:val="center"/>
        <w:textAlignment w:val="auto"/>
        <w:rPr>
          <w:b/>
          <w:bCs/>
          <w:color w:val="auto"/>
          <w:highlight w:val="none"/>
        </w:rPr>
      </w:pPr>
      <w:r>
        <w:rPr>
          <w:rFonts w:hint="eastAsia" w:ascii="仿宋_GB2312" w:hAnsi="仿宋_GB2312" w:eastAsia="仿宋_GB2312" w:cs="仿宋_GB2312"/>
          <w:b/>
          <w:bCs/>
          <w:color w:val="auto"/>
          <w:kern w:val="0"/>
          <w:sz w:val="32"/>
          <w:szCs w:val="32"/>
          <w:highlight w:val="none"/>
          <w:lang w:val="en-US" w:eastAsia="zh-CN" w:bidi="ar"/>
        </w:rPr>
        <w:t>单位情况表</w:t>
      </w:r>
    </w:p>
    <w:tbl>
      <w:tblPr>
        <w:tblStyle w:val="10"/>
        <w:tblpPr w:leftFromText="180" w:rightFromText="180" w:vertAnchor="text" w:horzAnchor="page" w:tblpX="2042" w:tblpY="1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3600"/>
        <w:gridCol w:w="3983"/>
      </w:tblGrid>
      <w:tr w14:paraId="102F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106158B4">
            <w:pPr>
              <w:pStyle w:val="2"/>
              <w:ind w:left="0" w:leftChars="0" w:firstLine="0" w:firstLineChars="0"/>
              <w:jc w:val="center"/>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序号</w:t>
            </w:r>
          </w:p>
        </w:tc>
        <w:tc>
          <w:tcPr>
            <w:tcW w:w="3600" w:type="dxa"/>
            <w:vAlign w:val="center"/>
          </w:tcPr>
          <w:p w14:paraId="628BE1C3">
            <w:pPr>
              <w:pStyle w:val="2"/>
              <w:ind w:left="0" w:leftChars="0" w:firstLine="0" w:firstLineChars="0"/>
              <w:jc w:val="center"/>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单位名称</w:t>
            </w:r>
          </w:p>
        </w:tc>
        <w:tc>
          <w:tcPr>
            <w:tcW w:w="3983" w:type="dxa"/>
            <w:vAlign w:val="center"/>
          </w:tcPr>
          <w:p w14:paraId="65ACCBF8">
            <w:pPr>
              <w:pStyle w:val="2"/>
              <w:ind w:left="0" w:leftChars="0" w:firstLine="0" w:firstLineChars="0"/>
              <w:jc w:val="center"/>
              <w:rPr>
                <w:rFonts w:hint="eastAsia"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单位性质</w:t>
            </w:r>
          </w:p>
        </w:tc>
      </w:tr>
      <w:tr w14:paraId="5E73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vAlign w:val="center"/>
          </w:tcPr>
          <w:p w14:paraId="49FF4F69">
            <w:pPr>
              <w:pStyle w:val="2"/>
              <w:ind w:left="0" w:leftChars="0" w:firstLine="0" w:firstLine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w:t>
            </w:r>
          </w:p>
        </w:tc>
        <w:tc>
          <w:tcPr>
            <w:tcW w:w="3600" w:type="dxa"/>
            <w:vAlign w:val="center"/>
          </w:tcPr>
          <w:p w14:paraId="2270559D">
            <w:pPr>
              <w:pStyle w:val="2"/>
              <w:ind w:left="0" w:leftChars="0" w:firstLine="0" w:firstLineChars="0"/>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和林格尔县人民检察院</w:t>
            </w:r>
          </w:p>
        </w:tc>
        <w:tc>
          <w:tcPr>
            <w:tcW w:w="3983" w:type="dxa"/>
            <w:vAlign w:val="center"/>
          </w:tcPr>
          <w:p w14:paraId="59D2ED33">
            <w:pPr>
              <w:pStyle w:val="2"/>
              <w:ind w:left="0" w:leftChars="0" w:firstLine="0" w:firstLineChars="0"/>
              <w:jc w:val="center"/>
              <w:rPr>
                <w:rFonts w:hint="eastAsia" w:ascii="宋体" w:hAnsi="宋体" w:eastAsia="宋体" w:cs="宋体"/>
                <w:color w:val="auto"/>
                <w:sz w:val="28"/>
                <w:szCs w:val="28"/>
                <w:highlight w:val="none"/>
                <w:vertAlign w:val="baseline"/>
              </w:rPr>
            </w:pPr>
            <w:r>
              <w:rPr>
                <w:rFonts w:hint="eastAsia" w:ascii="宋体" w:hAnsi="宋体" w:eastAsia="宋体" w:cs="宋体"/>
                <w:color w:val="auto"/>
                <w:sz w:val="28"/>
                <w:szCs w:val="28"/>
                <w:highlight w:val="none"/>
                <w:vertAlign w:val="baseline"/>
              </w:rPr>
              <w:t>财政拨款的行政单位</w:t>
            </w:r>
          </w:p>
        </w:tc>
      </w:tr>
    </w:tbl>
    <w:p w14:paraId="2714396B">
      <w:pPr>
        <w:keepNext w:val="0"/>
        <w:keepLines w:val="0"/>
        <w:pageBreakBefore w:val="0"/>
        <w:widowControl w:val="0"/>
        <w:kinsoku/>
        <w:wordWrap/>
        <w:overflowPunct/>
        <w:topLinePunct w:val="0"/>
        <w:autoSpaceDE/>
        <w:autoSpaceDN/>
        <w:bidi w:val="0"/>
        <w:adjustRightInd/>
        <w:snapToGrid/>
        <w:spacing w:before="313" w:beforeLines="100" w:line="360" w:lineRule="auto"/>
        <w:ind w:firstLine="643" w:firstLineChars="200"/>
        <w:textAlignment w:val="auto"/>
        <w:outlineLvl w:val="0"/>
        <w:rPr>
          <w:rFonts w:hint="eastAsia" w:eastAsia="黑体" w:cs="黑体"/>
          <w:b/>
          <w:bCs/>
          <w:color w:val="auto"/>
          <w:sz w:val="32"/>
          <w:szCs w:val="36"/>
          <w:highlight w:val="none"/>
        </w:rPr>
      </w:pPr>
      <w:r>
        <w:rPr>
          <w:rFonts w:hint="eastAsia" w:eastAsia="黑体" w:cs="黑体"/>
          <w:b/>
          <w:bCs/>
          <w:color w:val="auto"/>
          <w:sz w:val="32"/>
          <w:szCs w:val="36"/>
          <w:highlight w:val="none"/>
        </w:rPr>
        <w:t>三、</w:t>
      </w:r>
      <w:r>
        <w:rPr>
          <w:rFonts w:hint="eastAsia" w:eastAsia="黑体" w:cs="黑体"/>
          <w:b/>
          <w:bCs/>
          <w:color w:val="auto"/>
          <w:sz w:val="32"/>
          <w:szCs w:val="36"/>
          <w:highlight w:val="none"/>
          <w:lang w:val="en-US" w:eastAsia="zh-CN"/>
        </w:rPr>
        <w:t>2026</w:t>
      </w:r>
      <w:r>
        <w:rPr>
          <w:rFonts w:hint="eastAsia" w:eastAsia="黑体" w:cs="黑体"/>
          <w:b/>
          <w:bCs/>
          <w:color w:val="auto"/>
          <w:sz w:val="32"/>
          <w:szCs w:val="36"/>
          <w:highlight w:val="none"/>
        </w:rPr>
        <w:t>年单位主要工作任务及目标</w:t>
      </w:r>
    </w:p>
    <w:p w14:paraId="6CEEAB8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eastAsia"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2026年，是“十四五”规划实施的攻坚之年，也是推进检察工作现代化的重要一年。我院将继续坚持以习近平新时代中国特色社会主义思想为指导，深入贯彻党的二十大精神，紧紧围绕“努力让人民群众在每一个司法案件中感受到公平正义”的目标，忠诚履职，锐意进取，推动各项检察工作再上新台阶。</w:t>
      </w:r>
    </w:p>
    <w:p w14:paraId="6D1E4D18">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default"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一是</w:t>
      </w:r>
      <w:r>
        <w:rPr>
          <w:rFonts w:hint="default" w:ascii="仿宋" w:hAnsi="仿宋" w:eastAsia="仿宋" w:cs="仿宋"/>
          <w:b w:val="0"/>
          <w:bCs w:val="0"/>
          <w:color w:val="auto"/>
          <w:sz w:val="32"/>
          <w:szCs w:val="36"/>
          <w:highlight w:val="none"/>
          <w:lang w:val="en-US" w:eastAsia="zh-CN"/>
        </w:rPr>
        <w:t>进一步加强队伍建设</w:t>
      </w:r>
      <w:r>
        <w:rPr>
          <w:rFonts w:hint="eastAsia" w:ascii="仿宋" w:hAnsi="仿宋" w:eastAsia="仿宋" w:cs="仿宋"/>
          <w:b w:val="0"/>
          <w:bCs w:val="0"/>
          <w:color w:val="auto"/>
          <w:sz w:val="32"/>
          <w:szCs w:val="36"/>
          <w:highlight w:val="none"/>
          <w:lang w:val="en-US" w:eastAsia="zh-CN"/>
        </w:rPr>
        <w:t>。实施“年轻干部淬炼工程”，建立 “导师帮带+轮岗锻炼+实战历练”培养模式，安排35岁以下年轻干部到公诉、侦查监督、公益诉讼等核心业务部门轮岗，每人每年参与重大案件办理或专项监督工作不少于2项，同时选派优秀年轻干部到信访窗口等一线岗位挂职锻炼，提升综合履职能力。</w:t>
      </w:r>
    </w:p>
    <w:p w14:paraId="6D7A9B9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default"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二是</w:t>
      </w:r>
      <w:r>
        <w:rPr>
          <w:rFonts w:hint="default" w:ascii="仿宋" w:hAnsi="仿宋" w:eastAsia="仿宋" w:cs="仿宋"/>
          <w:b w:val="0"/>
          <w:bCs w:val="0"/>
          <w:color w:val="auto"/>
          <w:sz w:val="32"/>
          <w:szCs w:val="36"/>
          <w:highlight w:val="none"/>
          <w:lang w:val="en-US" w:eastAsia="zh-CN"/>
        </w:rPr>
        <w:t>全面提升检察工作质效</w:t>
      </w:r>
      <w:r>
        <w:rPr>
          <w:rFonts w:hint="eastAsia" w:ascii="仿宋" w:hAnsi="仿宋" w:eastAsia="仿宋" w:cs="仿宋"/>
          <w:b w:val="0"/>
          <w:bCs w:val="0"/>
          <w:color w:val="auto"/>
          <w:sz w:val="32"/>
          <w:szCs w:val="36"/>
          <w:highlight w:val="none"/>
          <w:lang w:val="en-US" w:eastAsia="zh-CN"/>
        </w:rPr>
        <w:t>。</w:t>
      </w:r>
      <w:r>
        <w:rPr>
          <w:rFonts w:hint="default" w:ascii="仿宋" w:hAnsi="仿宋" w:eastAsia="仿宋" w:cs="仿宋"/>
          <w:b w:val="0"/>
          <w:bCs w:val="0"/>
          <w:color w:val="auto"/>
          <w:sz w:val="32"/>
          <w:szCs w:val="36"/>
          <w:highlight w:val="none"/>
          <w:lang w:val="en-US" w:eastAsia="zh-CN"/>
        </w:rPr>
        <w:t>坚持以人民为中心的发展思想，紧紧围绕党和国家工作大局以及人民群众关心关注的热点难点问题，充分发挥检察职能作用，努力让人民群众在每一个司法案件中感受到公平正义。</w:t>
      </w:r>
    </w:p>
    <w:p w14:paraId="1D62BBE2">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default" w:ascii="仿宋" w:hAnsi="仿宋" w:eastAsia="仿宋" w:cs="仿宋"/>
          <w:b w:val="0"/>
          <w:bCs w:val="0"/>
          <w:color w:val="auto"/>
          <w:sz w:val="32"/>
          <w:szCs w:val="36"/>
          <w:highlight w:val="none"/>
          <w:lang w:val="en-US" w:eastAsia="zh-CN"/>
        </w:rPr>
      </w:pPr>
      <w:r>
        <w:rPr>
          <w:rFonts w:hint="eastAsia" w:ascii="仿宋" w:hAnsi="仿宋" w:eastAsia="仿宋" w:cs="仿宋"/>
          <w:b w:val="0"/>
          <w:bCs w:val="0"/>
          <w:color w:val="auto"/>
          <w:sz w:val="32"/>
          <w:szCs w:val="36"/>
          <w:highlight w:val="none"/>
          <w:lang w:val="en-US" w:eastAsia="zh-CN"/>
        </w:rPr>
        <w:t>三是创新工作机制。加强与其他司法机关、行政执法部门的沟通协作，定期召开联系会议、案件会商，从源头上对案件进行监督。建立健全信息共享、线索移送、联合调查等工作机制，形成打击违法犯罪的强大合力。</w:t>
      </w:r>
    </w:p>
    <w:p w14:paraId="25D7C235">
      <w:pPr>
        <w:pStyle w:val="5"/>
        <w:keepNext/>
        <w:keepLines/>
        <w:pageBreakBefore w:val="0"/>
        <w:widowControl w:val="0"/>
        <w:tabs>
          <w:tab w:val="left" w:pos="4392"/>
        </w:tabs>
        <w:kinsoku/>
        <w:wordWrap/>
        <w:overflowPunct/>
        <w:topLinePunct w:val="0"/>
        <w:autoSpaceDE/>
        <w:autoSpaceDN/>
        <w:bidi w:val="0"/>
        <w:adjustRightInd/>
        <w:snapToGrid/>
        <w:spacing w:before="0" w:after="0" w:line="360" w:lineRule="auto"/>
        <w:jc w:val="center"/>
        <w:textAlignment w:val="auto"/>
        <w:rPr>
          <w:rFonts w:hint="eastAsia" w:ascii="微软雅黑" w:hAnsi="微软雅黑" w:eastAsia="微软雅黑" w:cs="微软雅黑"/>
          <w:color w:val="auto"/>
          <w:sz w:val="36"/>
          <w:szCs w:val="36"/>
          <w:highlight w:val="none"/>
        </w:rPr>
      </w:pPr>
      <w:r>
        <w:rPr>
          <w:rFonts w:hint="eastAsia" w:ascii="微软雅黑" w:hAnsi="微软雅黑" w:eastAsia="微软雅黑" w:cs="微软雅黑"/>
          <w:color w:val="auto"/>
          <w:sz w:val="36"/>
          <w:szCs w:val="36"/>
          <w:highlight w:val="none"/>
        </w:rPr>
        <w:t>第</w:t>
      </w:r>
      <w:r>
        <w:rPr>
          <w:rFonts w:hint="eastAsia" w:ascii="微软雅黑" w:hAnsi="微软雅黑" w:eastAsia="微软雅黑" w:cs="微软雅黑"/>
          <w:color w:val="auto"/>
          <w:sz w:val="36"/>
          <w:szCs w:val="36"/>
          <w:highlight w:val="none"/>
          <w:lang w:val="en-US" w:eastAsia="zh-CN"/>
        </w:rPr>
        <w:t>二</w:t>
      </w:r>
      <w:r>
        <w:rPr>
          <w:rFonts w:hint="eastAsia" w:ascii="微软雅黑" w:hAnsi="微软雅黑" w:eastAsia="微软雅黑" w:cs="微软雅黑"/>
          <w:color w:val="auto"/>
          <w:sz w:val="36"/>
          <w:szCs w:val="36"/>
          <w:highlight w:val="none"/>
        </w:rPr>
        <w:t>部分</w:t>
      </w:r>
      <w:r>
        <w:rPr>
          <w:rFonts w:hint="eastAsia" w:ascii="微软雅黑" w:hAnsi="微软雅黑" w:eastAsia="微软雅黑" w:cs="微软雅黑"/>
          <w:color w:val="auto"/>
          <w:sz w:val="36"/>
          <w:szCs w:val="36"/>
          <w:highlight w:val="none"/>
          <w:lang w:val="en-US" w:eastAsia="zh-CN"/>
        </w:rPr>
        <w:t xml:space="preserve">  2026</w:t>
      </w:r>
      <w:r>
        <w:rPr>
          <w:rFonts w:hint="eastAsia" w:ascii="微软雅黑" w:hAnsi="微软雅黑" w:eastAsia="微软雅黑" w:cs="微软雅黑"/>
          <w:color w:val="auto"/>
          <w:sz w:val="36"/>
          <w:szCs w:val="36"/>
          <w:highlight w:val="none"/>
        </w:rPr>
        <w:t>年度单位预算情况说明</w:t>
      </w:r>
    </w:p>
    <w:p w14:paraId="1423E1D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eastAsia="黑体" w:cs="黑体"/>
          <w:b/>
          <w:bCs/>
          <w:color w:val="auto"/>
          <w:sz w:val="32"/>
          <w:szCs w:val="36"/>
          <w:highlight w:val="none"/>
        </w:rPr>
      </w:pPr>
      <w:r>
        <w:rPr>
          <w:rFonts w:hint="eastAsia" w:eastAsia="黑体" w:cs="黑体"/>
          <w:b/>
          <w:bCs/>
          <w:color w:val="auto"/>
          <w:sz w:val="32"/>
          <w:szCs w:val="36"/>
          <w:highlight w:val="none"/>
        </w:rPr>
        <w:t>一、收支预算总体情况说明</w:t>
      </w:r>
    </w:p>
    <w:p w14:paraId="70412729">
      <w:pPr>
        <w:pStyle w:val="6"/>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和林格尔县人民检察院2026</w:t>
      </w:r>
      <w:r>
        <w:rPr>
          <w:rFonts w:hint="eastAsia" w:ascii="仿宋" w:hAnsi="仿宋" w:eastAsia="仿宋" w:cs="仿宋"/>
          <w:color w:val="auto"/>
          <w:sz w:val="32"/>
          <w:szCs w:val="32"/>
          <w:highlight w:val="none"/>
        </w:rPr>
        <w:t>年度收入总计1,246.89万元、支出预算总计1,246.89万元，与上年相比收</w:t>
      </w:r>
      <w:r>
        <w:rPr>
          <w:rFonts w:hint="eastAsia" w:ascii="仿宋" w:hAnsi="仿宋" w:eastAsia="仿宋" w:cs="仿宋"/>
          <w:color w:val="auto"/>
          <w:sz w:val="32"/>
          <w:szCs w:val="32"/>
          <w:highlight w:val="none"/>
          <w:lang w:eastAsia="zh-CN"/>
        </w:rPr>
        <w:t>入</w:t>
      </w:r>
      <w:r>
        <w:rPr>
          <w:rFonts w:hint="eastAsia" w:ascii="仿宋" w:hAnsi="仿宋" w:eastAsia="仿宋" w:cs="仿宋"/>
          <w:color w:val="auto"/>
          <w:sz w:val="32"/>
          <w:szCs w:val="32"/>
          <w:highlight w:val="none"/>
        </w:rPr>
        <w:t>增加45.07万元、支</w:t>
      </w:r>
      <w:r>
        <w:rPr>
          <w:rFonts w:hint="eastAsia" w:ascii="仿宋" w:hAnsi="仿宋" w:eastAsia="仿宋" w:cs="仿宋"/>
          <w:color w:val="auto"/>
          <w:sz w:val="32"/>
          <w:szCs w:val="32"/>
          <w:highlight w:val="none"/>
          <w:lang w:eastAsia="zh-CN"/>
        </w:rPr>
        <w:t>出</w:t>
      </w:r>
      <w:r>
        <w:rPr>
          <w:rFonts w:hint="eastAsia" w:ascii="仿宋" w:hAnsi="仿宋" w:eastAsia="仿宋" w:cs="仿宋"/>
          <w:color w:val="auto"/>
          <w:sz w:val="32"/>
          <w:szCs w:val="32"/>
          <w:highlight w:val="none"/>
        </w:rPr>
        <w:t>预算总计增加45.07万元，收</w:t>
      </w:r>
      <w:r>
        <w:rPr>
          <w:rFonts w:hint="eastAsia" w:ascii="仿宋" w:hAnsi="仿宋" w:eastAsia="仿宋" w:cs="仿宋"/>
          <w:color w:val="auto"/>
          <w:sz w:val="32"/>
          <w:szCs w:val="32"/>
          <w:highlight w:val="none"/>
          <w:lang w:eastAsia="zh-CN"/>
        </w:rPr>
        <w:t>入</w:t>
      </w:r>
      <w:r>
        <w:rPr>
          <w:rFonts w:hint="eastAsia" w:ascii="仿宋" w:hAnsi="仿宋" w:eastAsia="仿宋" w:cs="仿宋"/>
          <w:color w:val="auto"/>
          <w:sz w:val="32"/>
          <w:szCs w:val="32"/>
          <w:highlight w:val="none"/>
        </w:rPr>
        <w:t>增长3.75%</w:t>
      </w:r>
      <w:r>
        <w:rPr>
          <w:rFonts w:hint="eastAsia" w:ascii="仿宋" w:hAnsi="仿宋" w:eastAsia="仿宋" w:cs="仿宋"/>
          <w:color w:val="auto"/>
          <w:sz w:val="32"/>
          <w:szCs w:val="32"/>
          <w:highlight w:val="none"/>
          <w:lang w:eastAsia="zh-CN"/>
        </w:rPr>
        <w:t>，支出</w:t>
      </w:r>
      <w:r>
        <w:rPr>
          <w:rFonts w:hint="eastAsia" w:ascii="仿宋" w:hAnsi="仿宋" w:eastAsia="仿宋" w:cs="仿宋"/>
          <w:color w:val="auto"/>
          <w:sz w:val="32"/>
          <w:szCs w:val="32"/>
          <w:highlight w:val="none"/>
        </w:rPr>
        <w:t>增长3.75%。其中：</w:t>
      </w:r>
    </w:p>
    <w:p w14:paraId="7F8B83B6">
      <w:pPr>
        <w:pStyle w:val="6"/>
        <w:keepNext w:val="0"/>
        <w:keepLines w:val="0"/>
        <w:pageBreakBefore w:val="0"/>
        <w:widowControl w:val="0"/>
        <w:tabs>
          <w:tab w:val="left" w:pos="4275"/>
        </w:tabs>
        <w:kinsoku/>
        <w:wordWrap/>
        <w:overflowPunct/>
        <w:topLinePunct w:val="0"/>
        <w:autoSpaceDE/>
        <w:autoSpaceDN/>
        <w:bidi w:val="0"/>
        <w:adjustRightInd/>
        <w:snapToGrid/>
        <w:spacing w:after="0" w:line="360" w:lineRule="auto"/>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（一）收入预算总计1,246.89万元。包括：</w:t>
      </w:r>
    </w:p>
    <w:p w14:paraId="469C05BA">
      <w:pPr>
        <w:pStyle w:val="6"/>
        <w:keepNext w:val="0"/>
        <w:keepLines w:val="0"/>
        <w:pageBreakBefore w:val="0"/>
        <w:widowControl w:val="0"/>
        <w:tabs>
          <w:tab w:val="left" w:pos="3792"/>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1．本年收入合计1,246.89万元。</w:t>
      </w:r>
    </w:p>
    <w:p w14:paraId="6B07934B">
      <w:pPr>
        <w:pStyle w:val="6"/>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（1）一般公共预算拨款收入1,246.89万元，与上年相比增加45.07万元，增长3.75%。主要原因</w:t>
      </w:r>
      <w:r>
        <w:rPr>
          <w:rFonts w:hint="eastAsia" w:ascii="仿宋" w:hAnsi="仿宋" w:eastAsia="仿宋" w:cs="仿宋"/>
          <w:color w:val="auto"/>
          <w:sz w:val="32"/>
          <w:szCs w:val="32"/>
          <w:highlight w:val="none"/>
          <w:u w:val="none"/>
          <w:lang w:eastAsia="zh-CN"/>
        </w:rPr>
        <w:t>是本年度我单位在职人员增加，项目减少，综合因素导致收入增加</w:t>
      </w:r>
      <w:r>
        <w:rPr>
          <w:rFonts w:hint="eastAsia" w:ascii="仿宋" w:hAnsi="仿宋" w:eastAsia="仿宋" w:cs="仿宋"/>
          <w:color w:val="auto"/>
          <w:sz w:val="32"/>
          <w:szCs w:val="32"/>
          <w:highlight w:val="none"/>
          <w:u w:val="none"/>
        </w:rPr>
        <w:t>。</w:t>
      </w:r>
    </w:p>
    <w:p w14:paraId="3D81DF52">
      <w:pPr>
        <w:pStyle w:val="6"/>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（2）政府性基金预算拨款收入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万元，与上年相比增加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%。主要原因是</w:t>
      </w:r>
      <w:r>
        <w:rPr>
          <w:rFonts w:hint="eastAsia" w:ascii="仿宋_GB2312" w:hAnsi="仿宋_GB2312" w:eastAsia="仿宋_GB2312" w:cs="仿宋_GB2312"/>
          <w:b w:val="0"/>
          <w:bCs w:val="0"/>
          <w:color w:val="auto"/>
          <w:sz w:val="32"/>
          <w:szCs w:val="36"/>
          <w:highlight w:val="none"/>
          <w:u w:val="none"/>
          <w:lang w:val="en-US" w:eastAsia="zh-CN"/>
        </w:rPr>
        <w:t>不存在此项内容</w:t>
      </w:r>
      <w:r>
        <w:rPr>
          <w:rFonts w:hint="eastAsia" w:ascii="仿宋" w:hAnsi="仿宋" w:eastAsia="仿宋" w:cs="仿宋"/>
          <w:color w:val="auto"/>
          <w:sz w:val="32"/>
          <w:szCs w:val="32"/>
          <w:highlight w:val="none"/>
          <w:u w:val="none"/>
        </w:rPr>
        <w:t>。</w:t>
      </w:r>
    </w:p>
    <w:p w14:paraId="491092F6">
      <w:pPr>
        <w:pStyle w:val="6"/>
        <w:keepNext w:val="0"/>
        <w:keepLines w:val="0"/>
        <w:pageBreakBefore w:val="0"/>
        <w:widowControl w:val="0"/>
        <w:tabs>
          <w:tab w:val="left" w:pos="1389"/>
          <w:tab w:val="left" w:pos="4911"/>
          <w:tab w:val="left" w:pos="6205"/>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（3）国有资本经营预算拨款收入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万元，与上年相比增加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%。主要原因是</w:t>
      </w:r>
      <w:r>
        <w:rPr>
          <w:rFonts w:hint="eastAsia" w:ascii="仿宋_GB2312" w:hAnsi="仿宋_GB2312" w:eastAsia="仿宋_GB2312" w:cs="仿宋_GB2312"/>
          <w:b w:val="0"/>
          <w:bCs w:val="0"/>
          <w:color w:val="auto"/>
          <w:sz w:val="32"/>
          <w:szCs w:val="36"/>
          <w:highlight w:val="none"/>
          <w:u w:val="none"/>
          <w:lang w:val="en-US" w:eastAsia="zh-CN"/>
        </w:rPr>
        <w:t>不存在此项内容</w:t>
      </w:r>
      <w:r>
        <w:rPr>
          <w:rFonts w:hint="eastAsia" w:ascii="仿宋" w:hAnsi="仿宋" w:eastAsia="仿宋" w:cs="仿宋"/>
          <w:color w:val="auto"/>
          <w:sz w:val="32"/>
          <w:szCs w:val="32"/>
          <w:highlight w:val="none"/>
          <w:u w:val="none"/>
        </w:rPr>
        <w:t>。</w:t>
      </w:r>
    </w:p>
    <w:p w14:paraId="1B11C513">
      <w:pPr>
        <w:pStyle w:val="6"/>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（4）财政专户管理资金收入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万元，与上年相比增加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%。主要原因是</w:t>
      </w:r>
      <w:r>
        <w:rPr>
          <w:rFonts w:hint="eastAsia" w:ascii="仿宋_GB2312" w:hAnsi="仿宋_GB2312" w:eastAsia="仿宋_GB2312" w:cs="仿宋_GB2312"/>
          <w:b w:val="0"/>
          <w:bCs w:val="0"/>
          <w:color w:val="auto"/>
          <w:sz w:val="32"/>
          <w:szCs w:val="36"/>
          <w:highlight w:val="none"/>
          <w:u w:val="none"/>
          <w:lang w:val="en-US" w:eastAsia="zh-CN"/>
        </w:rPr>
        <w:t>不存在此项内容</w:t>
      </w:r>
      <w:r>
        <w:rPr>
          <w:rFonts w:hint="eastAsia" w:ascii="仿宋" w:hAnsi="仿宋" w:eastAsia="仿宋" w:cs="仿宋"/>
          <w:color w:val="auto"/>
          <w:sz w:val="32"/>
          <w:szCs w:val="32"/>
          <w:highlight w:val="none"/>
          <w:u w:val="none"/>
        </w:rPr>
        <w:t>。</w:t>
      </w:r>
    </w:p>
    <w:p w14:paraId="37D7A4B3">
      <w:pPr>
        <w:pStyle w:val="6"/>
        <w:keepNext w:val="0"/>
        <w:keepLines w:val="0"/>
        <w:pageBreakBefore w:val="0"/>
        <w:widowControl w:val="0"/>
        <w:tabs>
          <w:tab w:val="left" w:pos="3310"/>
          <w:tab w:val="left" w:pos="3807"/>
          <w:tab w:val="left" w:pos="9433"/>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（5）事业收入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万元，与上年相比增加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%。主要原因是</w:t>
      </w:r>
      <w:r>
        <w:rPr>
          <w:rFonts w:hint="eastAsia" w:ascii="仿宋_GB2312" w:hAnsi="仿宋_GB2312" w:eastAsia="仿宋_GB2312" w:cs="仿宋_GB2312"/>
          <w:b w:val="0"/>
          <w:bCs w:val="0"/>
          <w:color w:val="auto"/>
          <w:sz w:val="32"/>
          <w:szCs w:val="36"/>
          <w:highlight w:val="none"/>
          <w:u w:val="none"/>
          <w:lang w:val="en-US" w:eastAsia="zh-CN"/>
        </w:rPr>
        <w:t>不存在此项内容</w:t>
      </w:r>
      <w:r>
        <w:rPr>
          <w:rFonts w:hint="eastAsia" w:ascii="仿宋" w:hAnsi="仿宋" w:eastAsia="仿宋" w:cs="仿宋"/>
          <w:color w:val="auto"/>
          <w:sz w:val="32"/>
          <w:szCs w:val="32"/>
          <w:highlight w:val="none"/>
          <w:u w:val="none"/>
        </w:rPr>
        <w:t>。</w:t>
      </w:r>
    </w:p>
    <w:p w14:paraId="6D1CDB70">
      <w:pPr>
        <w:pStyle w:val="6"/>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（6）事业单位经营收入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万元，与上年相比增加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%。主要原因是</w:t>
      </w:r>
      <w:r>
        <w:rPr>
          <w:rFonts w:hint="eastAsia" w:ascii="仿宋_GB2312" w:hAnsi="仿宋_GB2312" w:eastAsia="仿宋_GB2312" w:cs="仿宋_GB2312"/>
          <w:b w:val="0"/>
          <w:bCs w:val="0"/>
          <w:color w:val="auto"/>
          <w:sz w:val="32"/>
          <w:szCs w:val="36"/>
          <w:highlight w:val="none"/>
          <w:u w:val="none"/>
          <w:lang w:val="en-US" w:eastAsia="zh-CN"/>
        </w:rPr>
        <w:t>不存在此项内容</w:t>
      </w:r>
      <w:r>
        <w:rPr>
          <w:rFonts w:hint="eastAsia" w:ascii="仿宋" w:hAnsi="仿宋" w:eastAsia="仿宋" w:cs="仿宋"/>
          <w:color w:val="auto"/>
          <w:sz w:val="32"/>
          <w:szCs w:val="32"/>
          <w:highlight w:val="none"/>
          <w:u w:val="none"/>
        </w:rPr>
        <w:t>。</w:t>
      </w:r>
    </w:p>
    <w:p w14:paraId="3399DCAC">
      <w:pPr>
        <w:pStyle w:val="6"/>
        <w:keepNext w:val="0"/>
        <w:keepLines w:val="0"/>
        <w:pageBreakBefore w:val="0"/>
        <w:widowControl w:val="0"/>
        <w:tabs>
          <w:tab w:val="left" w:pos="4320"/>
          <w:tab w:val="left" w:pos="9433"/>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rPr>
        <w:t>（7）上级补助收入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万元，与上年相比增加</w:t>
      </w:r>
      <w:r>
        <w:rPr>
          <w:rFonts w:hint="eastAsia" w:ascii="仿宋" w:hAnsi="仿宋" w:eastAsia="仿宋" w:cs="仿宋"/>
          <w:color w:val="auto"/>
          <w:sz w:val="32"/>
          <w:szCs w:val="32"/>
          <w:highlight w:val="none"/>
          <w:u w:val="none"/>
          <w:lang w:val="en-US" w:eastAsia="zh-CN"/>
        </w:rPr>
        <w:t>0</w:t>
      </w:r>
    </w:p>
    <w:p w14:paraId="416044B4">
      <w:pPr>
        <w:pStyle w:val="6"/>
        <w:keepNext w:val="0"/>
        <w:keepLines w:val="0"/>
        <w:pageBreakBefore w:val="0"/>
        <w:widowControl w:val="0"/>
        <w:tabs>
          <w:tab w:val="left" w:pos="3310"/>
        </w:tabs>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eastAsia="zh-CN"/>
        </w:rPr>
        <w:t>万</w:t>
      </w:r>
      <w:r>
        <w:rPr>
          <w:rFonts w:hint="eastAsia" w:ascii="仿宋" w:hAnsi="仿宋" w:eastAsia="仿宋" w:cs="仿宋"/>
          <w:color w:val="auto"/>
          <w:sz w:val="32"/>
          <w:szCs w:val="32"/>
          <w:highlight w:val="none"/>
          <w:u w:val="none"/>
        </w:rPr>
        <w:t>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%。主要原因是</w:t>
      </w:r>
      <w:r>
        <w:rPr>
          <w:rFonts w:hint="eastAsia" w:ascii="仿宋_GB2312" w:hAnsi="仿宋_GB2312" w:eastAsia="仿宋_GB2312" w:cs="仿宋_GB2312"/>
          <w:b w:val="0"/>
          <w:bCs w:val="0"/>
          <w:color w:val="auto"/>
          <w:sz w:val="32"/>
          <w:szCs w:val="36"/>
          <w:highlight w:val="none"/>
          <w:u w:val="none"/>
          <w:lang w:val="en-US" w:eastAsia="zh-CN"/>
        </w:rPr>
        <w:t>不存在此项内容</w:t>
      </w:r>
      <w:r>
        <w:rPr>
          <w:rFonts w:hint="eastAsia" w:ascii="仿宋" w:hAnsi="仿宋" w:eastAsia="仿宋" w:cs="仿宋"/>
          <w:color w:val="auto"/>
          <w:sz w:val="32"/>
          <w:szCs w:val="32"/>
          <w:highlight w:val="none"/>
          <w:u w:val="none"/>
        </w:rPr>
        <w:t>。</w:t>
      </w:r>
    </w:p>
    <w:p w14:paraId="60B33385">
      <w:pPr>
        <w:pStyle w:val="6"/>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（8）附属单位上缴收入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万元，与上年相比增加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%。主要原因是</w:t>
      </w:r>
      <w:r>
        <w:rPr>
          <w:rFonts w:hint="eastAsia" w:ascii="仿宋_GB2312" w:hAnsi="仿宋_GB2312" w:eastAsia="仿宋_GB2312" w:cs="仿宋_GB2312"/>
          <w:b w:val="0"/>
          <w:bCs w:val="0"/>
          <w:color w:val="auto"/>
          <w:sz w:val="32"/>
          <w:szCs w:val="36"/>
          <w:highlight w:val="none"/>
          <w:u w:val="none"/>
          <w:lang w:val="en-US" w:eastAsia="zh-CN"/>
        </w:rPr>
        <w:t>不存在此项内容</w:t>
      </w:r>
      <w:r>
        <w:rPr>
          <w:rFonts w:hint="eastAsia" w:ascii="仿宋" w:hAnsi="仿宋" w:eastAsia="仿宋" w:cs="仿宋"/>
          <w:color w:val="auto"/>
          <w:sz w:val="32"/>
          <w:szCs w:val="32"/>
          <w:highlight w:val="none"/>
          <w:u w:val="none"/>
        </w:rPr>
        <w:t>。</w:t>
      </w:r>
    </w:p>
    <w:p w14:paraId="77A02C21">
      <w:pPr>
        <w:pStyle w:val="6"/>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（9）其他收入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万元，与上年相比增加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%。主要原因是</w:t>
      </w:r>
      <w:r>
        <w:rPr>
          <w:rFonts w:hint="eastAsia" w:ascii="仿宋_GB2312" w:hAnsi="仿宋_GB2312" w:eastAsia="仿宋_GB2312" w:cs="仿宋_GB2312"/>
          <w:b w:val="0"/>
          <w:bCs w:val="0"/>
          <w:color w:val="auto"/>
          <w:sz w:val="32"/>
          <w:szCs w:val="36"/>
          <w:highlight w:val="none"/>
          <w:u w:val="none"/>
          <w:lang w:val="en-US" w:eastAsia="zh-CN"/>
        </w:rPr>
        <w:t>不存在此项内容</w:t>
      </w:r>
      <w:r>
        <w:rPr>
          <w:rFonts w:hint="eastAsia" w:ascii="仿宋" w:hAnsi="仿宋" w:eastAsia="仿宋" w:cs="仿宋"/>
          <w:color w:val="auto"/>
          <w:sz w:val="32"/>
          <w:szCs w:val="32"/>
          <w:highlight w:val="none"/>
          <w:u w:val="none"/>
        </w:rPr>
        <w:t>。</w:t>
      </w:r>
    </w:p>
    <w:p w14:paraId="23975F6D">
      <w:pPr>
        <w:pStyle w:val="6"/>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2．上年结转结余为</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万元。与上年相比增加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%。主要原因是</w:t>
      </w:r>
      <w:r>
        <w:rPr>
          <w:rFonts w:hint="eastAsia" w:ascii="仿宋_GB2312" w:hAnsi="仿宋_GB2312" w:eastAsia="仿宋_GB2312" w:cs="仿宋_GB2312"/>
          <w:b w:val="0"/>
          <w:bCs w:val="0"/>
          <w:color w:val="auto"/>
          <w:sz w:val="32"/>
          <w:szCs w:val="36"/>
          <w:highlight w:val="none"/>
          <w:u w:val="none"/>
          <w:lang w:val="en-US" w:eastAsia="zh-CN"/>
        </w:rPr>
        <w:t>不存在此项内容</w:t>
      </w:r>
      <w:r>
        <w:rPr>
          <w:rFonts w:hint="eastAsia" w:ascii="仿宋" w:hAnsi="仿宋" w:eastAsia="仿宋" w:cs="仿宋"/>
          <w:color w:val="auto"/>
          <w:sz w:val="32"/>
          <w:szCs w:val="32"/>
          <w:highlight w:val="none"/>
          <w:u w:val="none"/>
        </w:rPr>
        <w:t>。</w:t>
      </w:r>
    </w:p>
    <w:p w14:paraId="332B6030">
      <w:pPr>
        <w:pStyle w:val="6"/>
        <w:keepNext w:val="0"/>
        <w:keepLines w:val="0"/>
        <w:pageBreakBefore w:val="0"/>
        <w:widowControl w:val="0"/>
        <w:tabs>
          <w:tab w:val="left" w:pos="4275"/>
        </w:tabs>
        <w:kinsoku/>
        <w:wordWrap/>
        <w:overflowPunct/>
        <w:topLinePunct w:val="0"/>
        <w:autoSpaceDE/>
        <w:autoSpaceDN/>
        <w:bidi w:val="0"/>
        <w:adjustRightInd/>
        <w:snapToGrid/>
        <w:spacing w:after="0" w:line="360" w:lineRule="auto"/>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（二）支出预算总计1,246.89万元。包括：</w:t>
      </w:r>
    </w:p>
    <w:p w14:paraId="5748B9D9">
      <w:pPr>
        <w:pStyle w:val="6"/>
        <w:keepNext w:val="0"/>
        <w:keepLines w:val="0"/>
        <w:pageBreakBefore w:val="0"/>
        <w:widowControl w:val="0"/>
        <w:tabs>
          <w:tab w:val="left" w:pos="3792"/>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1．本年支出合计1,246.89万元。</w:t>
      </w:r>
    </w:p>
    <w:p w14:paraId="40B1D5B5">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）公共安全（类）支出1,064.70万元，主要用于保障机关单位正常运转、履行职能以及保障项目支出需要。与上年相比增加30.96万元，增长2.99%。主要原因</w:t>
      </w:r>
      <w:r>
        <w:rPr>
          <w:rFonts w:hint="eastAsia" w:ascii="仿宋" w:hAnsi="仿宋" w:eastAsia="仿宋" w:cs="仿宋"/>
          <w:color w:val="auto"/>
          <w:sz w:val="32"/>
          <w:szCs w:val="32"/>
          <w:highlight w:val="none"/>
          <w:lang w:eastAsia="zh-CN"/>
        </w:rPr>
        <w:t>是本年我单位新增在职人员，故此项费用相应增加</w:t>
      </w:r>
      <w:r>
        <w:rPr>
          <w:rFonts w:hint="eastAsia" w:ascii="仿宋" w:hAnsi="仿宋" w:eastAsia="仿宋" w:cs="仿宋"/>
          <w:color w:val="auto"/>
          <w:sz w:val="32"/>
          <w:szCs w:val="32"/>
          <w:highlight w:val="none"/>
        </w:rPr>
        <w:t>。</w:t>
      </w:r>
    </w:p>
    <w:p w14:paraId="63A6ECC9">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）社会保障和就业支出（类）支出85.80万元，主要用于机关事业单位基本养老保险缴费支出及职业年金缴费。与上年相比增加7.99万元，增长10.27%。主要原因</w:t>
      </w:r>
      <w:r>
        <w:rPr>
          <w:rFonts w:hint="eastAsia" w:ascii="仿宋" w:hAnsi="仿宋" w:eastAsia="仿宋" w:cs="仿宋"/>
          <w:color w:val="auto"/>
          <w:sz w:val="32"/>
          <w:szCs w:val="32"/>
          <w:highlight w:val="none"/>
          <w:lang w:eastAsia="zh-CN"/>
        </w:rPr>
        <w:t>是本年我单位新增在职人员，故此项费用相应增加</w:t>
      </w:r>
      <w:r>
        <w:rPr>
          <w:rFonts w:hint="eastAsia" w:ascii="仿宋" w:hAnsi="仿宋" w:eastAsia="仿宋" w:cs="仿宋"/>
          <w:color w:val="auto"/>
          <w:sz w:val="32"/>
          <w:szCs w:val="32"/>
          <w:highlight w:val="none"/>
        </w:rPr>
        <w:t>。</w:t>
      </w:r>
    </w:p>
    <w:p w14:paraId="5D4BBC5E">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）卫生健康支出（类）支出26.90万元，主要用于行政单位基本医疗支出。与上年相比增加</w:t>
      </w:r>
      <w:r>
        <w:rPr>
          <w:rFonts w:hint="eastAsia" w:ascii="仿宋" w:hAnsi="仿宋" w:eastAsia="仿宋" w:cs="仿宋"/>
          <w:color w:val="auto"/>
          <w:kern w:val="2"/>
          <w:sz w:val="32"/>
          <w:szCs w:val="32"/>
          <w:highlight w:val="none"/>
          <w:lang w:val="en-US" w:eastAsia="zh-CN" w:bidi="ar-SA"/>
        </w:rPr>
        <w:t>2.20</w:t>
      </w:r>
      <w:r>
        <w:rPr>
          <w:rFonts w:hint="eastAsia" w:ascii="仿宋" w:hAnsi="仿宋" w:eastAsia="仿宋" w:cs="仿宋"/>
          <w:color w:val="auto"/>
          <w:sz w:val="32"/>
          <w:szCs w:val="32"/>
          <w:highlight w:val="none"/>
        </w:rPr>
        <w:t>万元，增长8.90%。主要原因</w:t>
      </w:r>
      <w:r>
        <w:rPr>
          <w:rFonts w:hint="eastAsia" w:ascii="仿宋" w:hAnsi="仿宋" w:eastAsia="仿宋" w:cs="仿宋"/>
          <w:color w:val="auto"/>
          <w:sz w:val="32"/>
          <w:szCs w:val="32"/>
          <w:highlight w:val="none"/>
          <w:lang w:eastAsia="zh-CN"/>
        </w:rPr>
        <w:t>是本年我单位新增在职人员，故此项费用相应增加</w:t>
      </w:r>
      <w:r>
        <w:rPr>
          <w:rFonts w:hint="eastAsia" w:ascii="仿宋" w:hAnsi="仿宋" w:eastAsia="仿宋" w:cs="仿宋"/>
          <w:color w:val="auto"/>
          <w:sz w:val="32"/>
          <w:szCs w:val="32"/>
          <w:highlight w:val="none"/>
        </w:rPr>
        <w:t>。</w:t>
      </w:r>
    </w:p>
    <w:p w14:paraId="7E0D65A8">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）住房保障支出（类）支出69.49万元，主要用于</w:t>
      </w:r>
      <w:r>
        <w:rPr>
          <w:rFonts w:hint="eastAsia" w:ascii="仿宋" w:hAnsi="仿宋" w:eastAsia="仿宋" w:cs="仿宋"/>
          <w:color w:val="auto"/>
          <w:sz w:val="32"/>
          <w:szCs w:val="32"/>
          <w:highlight w:val="none"/>
          <w:lang w:eastAsia="zh-CN"/>
        </w:rPr>
        <w:t>住房公积金</w:t>
      </w:r>
      <w:r>
        <w:rPr>
          <w:rFonts w:hint="eastAsia" w:ascii="仿宋" w:hAnsi="仿宋" w:eastAsia="仿宋" w:cs="仿宋"/>
          <w:color w:val="auto"/>
          <w:sz w:val="32"/>
          <w:szCs w:val="32"/>
          <w:highlight w:val="none"/>
        </w:rPr>
        <w:t>支出。与上年相比增加3.92万元，增长5.99%。主要原因</w:t>
      </w:r>
      <w:r>
        <w:rPr>
          <w:rFonts w:hint="eastAsia" w:ascii="仿宋" w:hAnsi="仿宋" w:eastAsia="仿宋" w:cs="仿宋"/>
          <w:color w:val="auto"/>
          <w:sz w:val="32"/>
          <w:szCs w:val="32"/>
          <w:highlight w:val="none"/>
          <w:lang w:eastAsia="zh-CN"/>
        </w:rPr>
        <w:t>是本年我单位新增在职人员，故此项费用相应增加</w:t>
      </w:r>
      <w:r>
        <w:rPr>
          <w:rFonts w:hint="eastAsia" w:ascii="仿宋" w:hAnsi="仿宋" w:eastAsia="仿宋" w:cs="仿宋"/>
          <w:color w:val="auto"/>
          <w:sz w:val="32"/>
          <w:szCs w:val="32"/>
          <w:highlight w:val="none"/>
        </w:rPr>
        <w:t>。</w:t>
      </w:r>
    </w:p>
    <w:p w14:paraId="62E2F2C4">
      <w:pPr>
        <w:pStyle w:val="6"/>
        <w:keepNext w:val="0"/>
        <w:keepLines w:val="0"/>
        <w:pageBreakBefore w:val="0"/>
        <w:widowControl w:val="0"/>
        <w:tabs>
          <w:tab w:val="left" w:pos="4112"/>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2．年终结转结余为</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万元，与上年相比增加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%。主要原因是不存在此项内容。</w:t>
      </w:r>
    </w:p>
    <w:p w14:paraId="590710D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eastAsia="黑体" w:cs="黑体"/>
          <w:b/>
          <w:bCs/>
          <w:color w:val="auto"/>
          <w:sz w:val="32"/>
          <w:szCs w:val="36"/>
          <w:highlight w:val="none"/>
        </w:rPr>
      </w:pPr>
      <w:r>
        <w:rPr>
          <w:rFonts w:hint="eastAsia" w:eastAsia="黑体" w:cs="黑体"/>
          <w:b/>
          <w:bCs/>
          <w:color w:val="auto"/>
          <w:sz w:val="32"/>
          <w:szCs w:val="36"/>
          <w:highlight w:val="none"/>
        </w:rPr>
        <w:t>二、收入预算情况说明</w:t>
      </w:r>
    </w:p>
    <w:p w14:paraId="739200CD">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lang w:val="en-US" w:eastAsia="zh-CN"/>
        </w:rPr>
        <w:t>和林格尔县人民检察院2026</w:t>
      </w:r>
      <w:r>
        <w:rPr>
          <w:rFonts w:hint="eastAsia" w:ascii="仿宋" w:hAnsi="仿宋" w:eastAsia="仿宋" w:cs="仿宋"/>
          <w:color w:val="auto"/>
          <w:sz w:val="32"/>
          <w:szCs w:val="32"/>
          <w:highlight w:val="none"/>
        </w:rPr>
        <w:t>年收入预算合计1,246.89万元，包括本年收入1,246.89万元，上年结转</w:t>
      </w:r>
      <w:r>
        <w:rPr>
          <w:rFonts w:hint="eastAsia" w:ascii="仿宋" w:hAnsi="仿宋" w:eastAsia="仿宋" w:cs="仿宋"/>
          <w:color w:val="auto"/>
          <w:sz w:val="32"/>
          <w:szCs w:val="32"/>
          <w:highlight w:val="none"/>
          <w:u w:val="none"/>
        </w:rPr>
        <w:t>结余</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w:t>
      </w:r>
    </w:p>
    <w:p w14:paraId="01EC30D8">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其中：</w:t>
      </w:r>
    </w:p>
    <w:p w14:paraId="481B2177">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本年一般公共预算收入1,246.89万元，占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017AEBD3">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本年政府性基金预算收入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0F65317C">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本年国有资本经营预算收入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49CBCD8D">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本年财政专户管理资金</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06E46A8E">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本年事业收入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7D3E1B7F">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本年事业单位经营收入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0610183B">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本年上级补助收入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37FB35B0">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本年附属单位上缴收入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7A323FBB">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本年其他收入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52D3A9DF">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上年结转结余的一般公共预算收入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53B99B66">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上年结转结余的政府性基金预算收入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08E27893">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上年结转结余的国有资本经营预算收入</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666F08EB">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上年结转结余的财政专户管理资金</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44258132">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上年结转结余的单位资金</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5AFF1865">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eastAsia="zh-CN"/>
        </w:rPr>
        <w:drawing>
          <wp:inline distT="0" distB="0" distL="114300" distR="114300">
            <wp:extent cx="4982845" cy="2235200"/>
            <wp:effectExtent l="4445" t="4445" r="22860" b="825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48141C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eastAsia="黑体" w:cs="黑体"/>
          <w:b/>
          <w:bCs/>
          <w:color w:val="auto"/>
          <w:sz w:val="32"/>
          <w:szCs w:val="36"/>
          <w:highlight w:val="none"/>
        </w:rPr>
      </w:pPr>
      <w:r>
        <w:rPr>
          <w:rFonts w:hint="eastAsia" w:eastAsia="黑体" w:cs="黑体"/>
          <w:b/>
          <w:bCs/>
          <w:color w:val="auto"/>
          <w:sz w:val="32"/>
          <w:szCs w:val="36"/>
          <w:highlight w:val="none"/>
        </w:rPr>
        <w:t>三、支出预算情况说明</w:t>
      </w:r>
    </w:p>
    <w:p w14:paraId="0BF5044D">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和林格尔县人民检察院2026</w:t>
      </w:r>
      <w:r>
        <w:rPr>
          <w:rFonts w:hint="eastAsia" w:ascii="仿宋" w:hAnsi="仿宋" w:eastAsia="仿宋" w:cs="仿宋"/>
          <w:color w:val="auto"/>
          <w:sz w:val="32"/>
          <w:szCs w:val="32"/>
          <w:highlight w:val="none"/>
        </w:rPr>
        <w:t>年支出预算合计1,246.89万元，其中：</w:t>
      </w:r>
    </w:p>
    <w:p w14:paraId="7B48B34B">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基本支出992.89万元，占79.63%；</w:t>
      </w:r>
    </w:p>
    <w:p w14:paraId="48149671">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项目支出254.00万元，占20.37%；</w:t>
      </w:r>
    </w:p>
    <w:p w14:paraId="7C44F98D">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事业单位经营支出</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62F5AFDC">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上缴上级支出</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504E7068">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对附属单位补助支出</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p>
    <w:p w14:paraId="11D88F83">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left="0" w:leftChars="0" w:right="0" w:firstLine="640" w:firstLineChars="20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none"/>
          <w:lang w:eastAsia="zh-CN"/>
        </w:rPr>
        <w:drawing>
          <wp:inline distT="0" distB="0" distL="114300" distR="114300">
            <wp:extent cx="5057140" cy="2276475"/>
            <wp:effectExtent l="4445" t="4445" r="5715"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E2EB3D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eastAsia="黑体" w:cs="黑体"/>
          <w:b/>
          <w:bCs/>
          <w:color w:val="auto"/>
          <w:sz w:val="32"/>
          <w:szCs w:val="36"/>
          <w:highlight w:val="none"/>
        </w:rPr>
      </w:pPr>
      <w:r>
        <w:rPr>
          <w:rFonts w:hint="eastAsia" w:eastAsia="黑体" w:cs="黑体"/>
          <w:b/>
          <w:bCs/>
          <w:color w:val="auto"/>
          <w:sz w:val="32"/>
          <w:szCs w:val="36"/>
          <w:highlight w:val="none"/>
        </w:rPr>
        <w:t>四、财政拨款收支预算总体情况说明</w:t>
      </w:r>
    </w:p>
    <w:p w14:paraId="5F416F60">
      <w:pPr>
        <w:pStyle w:val="6"/>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lang w:val="en-US" w:eastAsia="zh-CN"/>
        </w:rPr>
        <w:t>和林格尔县人民检察院2026</w:t>
      </w:r>
      <w:r>
        <w:rPr>
          <w:rFonts w:hint="eastAsia" w:ascii="仿宋" w:hAnsi="仿宋" w:eastAsia="仿宋" w:cs="仿宋"/>
          <w:color w:val="auto"/>
          <w:sz w:val="32"/>
          <w:szCs w:val="32"/>
          <w:highlight w:val="none"/>
        </w:rPr>
        <w:t>年度财政拨款收</w:t>
      </w:r>
      <w:r>
        <w:rPr>
          <w:rFonts w:hint="eastAsia" w:ascii="仿宋" w:hAnsi="仿宋" w:eastAsia="仿宋" w:cs="仿宋"/>
          <w:color w:val="auto"/>
          <w:sz w:val="32"/>
          <w:szCs w:val="32"/>
          <w:highlight w:val="none"/>
          <w:lang w:val="en-US" w:eastAsia="zh-CN"/>
        </w:rPr>
        <w:t>入总计1,246.89万元,</w:t>
      </w:r>
      <w:r>
        <w:rPr>
          <w:rFonts w:hint="eastAsia" w:ascii="仿宋" w:hAnsi="仿宋" w:eastAsia="仿宋" w:cs="仿宋"/>
          <w:color w:val="auto"/>
          <w:sz w:val="32"/>
          <w:szCs w:val="32"/>
          <w:highlight w:val="none"/>
        </w:rPr>
        <w:t>与上年相比，财政拨款收</w:t>
      </w:r>
      <w:r>
        <w:rPr>
          <w:rFonts w:hint="eastAsia" w:ascii="仿宋" w:hAnsi="仿宋" w:eastAsia="仿宋" w:cs="仿宋"/>
          <w:color w:val="auto"/>
          <w:sz w:val="32"/>
          <w:szCs w:val="32"/>
          <w:highlight w:val="none"/>
          <w:lang w:val="en-US" w:eastAsia="zh-CN"/>
        </w:rPr>
        <w:t>入总计</w:t>
      </w:r>
      <w:r>
        <w:rPr>
          <w:rFonts w:hint="eastAsia" w:ascii="仿宋" w:hAnsi="仿宋" w:eastAsia="仿宋" w:cs="仿宋"/>
          <w:color w:val="auto"/>
          <w:sz w:val="32"/>
          <w:szCs w:val="32"/>
          <w:highlight w:val="none"/>
        </w:rPr>
        <w:t>增加45.07万元，增长3.75%。</w:t>
      </w:r>
      <w:r>
        <w:rPr>
          <w:rFonts w:hint="eastAsia" w:ascii="仿宋" w:hAnsi="仿宋" w:eastAsia="仿宋" w:cs="仿宋"/>
          <w:color w:val="auto"/>
          <w:sz w:val="32"/>
          <w:szCs w:val="32"/>
          <w:highlight w:val="none"/>
          <w:u w:val="none"/>
        </w:rPr>
        <w:t>主要原因</w:t>
      </w:r>
      <w:r>
        <w:rPr>
          <w:rFonts w:hint="eastAsia" w:ascii="仿宋" w:hAnsi="仿宋" w:eastAsia="仿宋" w:cs="仿宋"/>
          <w:color w:val="auto"/>
          <w:sz w:val="32"/>
          <w:szCs w:val="32"/>
          <w:highlight w:val="none"/>
          <w:u w:val="none"/>
          <w:lang w:eastAsia="zh-CN"/>
        </w:rPr>
        <w:t>是本年度我单位在职人员增加，项目减少，综合因素导致收入增加</w:t>
      </w:r>
      <w:r>
        <w:rPr>
          <w:rFonts w:hint="eastAsia" w:ascii="仿宋" w:hAnsi="仿宋" w:eastAsia="仿宋" w:cs="仿宋"/>
          <w:color w:val="auto"/>
          <w:sz w:val="32"/>
          <w:szCs w:val="32"/>
          <w:highlight w:val="none"/>
          <w:u w:val="none"/>
        </w:rPr>
        <w:t>。</w:t>
      </w:r>
    </w:p>
    <w:p w14:paraId="29086B6D">
      <w:pPr>
        <w:pStyle w:val="6"/>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rPr>
        <w:t>财政拨款支</w:t>
      </w:r>
      <w:r>
        <w:rPr>
          <w:rFonts w:hint="eastAsia" w:ascii="仿宋" w:hAnsi="仿宋" w:eastAsia="仿宋" w:cs="仿宋"/>
          <w:color w:val="auto"/>
          <w:sz w:val="32"/>
          <w:szCs w:val="32"/>
          <w:highlight w:val="none"/>
          <w:lang w:val="en-US" w:eastAsia="zh-CN"/>
        </w:rPr>
        <w:t>出</w:t>
      </w:r>
      <w:r>
        <w:rPr>
          <w:rFonts w:hint="eastAsia" w:ascii="仿宋" w:hAnsi="仿宋" w:eastAsia="仿宋" w:cs="仿宋"/>
          <w:color w:val="auto"/>
          <w:sz w:val="32"/>
          <w:szCs w:val="32"/>
          <w:highlight w:val="none"/>
        </w:rPr>
        <w:t>总预算</w:t>
      </w:r>
      <w:r>
        <w:rPr>
          <w:rFonts w:hint="eastAsia" w:ascii="仿宋" w:hAnsi="仿宋" w:eastAsia="仿宋" w:cs="仿宋"/>
          <w:color w:val="auto"/>
          <w:sz w:val="32"/>
          <w:szCs w:val="32"/>
          <w:highlight w:val="none"/>
          <w:lang w:val="en-US" w:eastAsia="zh-CN"/>
        </w:rPr>
        <w:t>1,246.89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财政拨款支</w:t>
      </w:r>
      <w:r>
        <w:rPr>
          <w:rFonts w:hint="eastAsia" w:ascii="仿宋" w:hAnsi="仿宋" w:eastAsia="仿宋" w:cs="仿宋"/>
          <w:color w:val="auto"/>
          <w:sz w:val="32"/>
          <w:szCs w:val="32"/>
          <w:highlight w:val="none"/>
          <w:lang w:val="en-US" w:eastAsia="zh-CN"/>
        </w:rPr>
        <w:t>出</w:t>
      </w:r>
      <w:r>
        <w:rPr>
          <w:rFonts w:hint="eastAsia" w:ascii="仿宋" w:hAnsi="仿宋" w:eastAsia="仿宋" w:cs="仿宋"/>
          <w:color w:val="auto"/>
          <w:sz w:val="32"/>
          <w:szCs w:val="32"/>
          <w:highlight w:val="none"/>
        </w:rPr>
        <w:t>总计增加45.07万元，增长3.75%。</w:t>
      </w:r>
      <w:r>
        <w:rPr>
          <w:rFonts w:hint="eastAsia" w:ascii="仿宋" w:hAnsi="仿宋" w:eastAsia="仿宋" w:cs="仿宋"/>
          <w:color w:val="auto"/>
          <w:sz w:val="32"/>
          <w:szCs w:val="32"/>
          <w:highlight w:val="none"/>
          <w:u w:val="none"/>
        </w:rPr>
        <w:t>主要原因</w:t>
      </w:r>
      <w:r>
        <w:rPr>
          <w:rFonts w:hint="eastAsia" w:ascii="仿宋" w:hAnsi="仿宋" w:eastAsia="仿宋" w:cs="仿宋"/>
          <w:color w:val="auto"/>
          <w:sz w:val="32"/>
          <w:szCs w:val="32"/>
          <w:highlight w:val="none"/>
          <w:u w:val="none"/>
          <w:lang w:eastAsia="zh-CN"/>
        </w:rPr>
        <w:t>是本年度我单位在职人员增加，项目减少，综合因素导致收入增加</w:t>
      </w:r>
      <w:r>
        <w:rPr>
          <w:rFonts w:hint="eastAsia" w:ascii="仿宋" w:hAnsi="仿宋" w:eastAsia="仿宋" w:cs="仿宋"/>
          <w:color w:val="auto"/>
          <w:sz w:val="32"/>
          <w:szCs w:val="32"/>
          <w:highlight w:val="none"/>
          <w:u w:val="none"/>
        </w:rPr>
        <w:t>。</w:t>
      </w:r>
    </w:p>
    <w:p w14:paraId="3723102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eastAsia="黑体" w:cs="黑体"/>
          <w:b/>
          <w:bCs/>
          <w:color w:val="auto"/>
          <w:sz w:val="32"/>
          <w:szCs w:val="36"/>
          <w:highlight w:val="none"/>
        </w:rPr>
      </w:pPr>
      <w:r>
        <w:rPr>
          <w:rFonts w:hint="eastAsia" w:eastAsia="黑体" w:cs="黑体"/>
          <w:b/>
          <w:bCs/>
          <w:color w:val="auto"/>
          <w:sz w:val="32"/>
          <w:szCs w:val="36"/>
          <w:highlight w:val="none"/>
        </w:rPr>
        <w:t>五、一般公共预算支出预算情况说明</w:t>
      </w:r>
    </w:p>
    <w:p w14:paraId="154E2D47">
      <w:pPr>
        <w:pStyle w:val="6"/>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lang w:val="en-US" w:eastAsia="zh-CN"/>
        </w:rPr>
        <w:t>和林格尔县人民检察院2026</w:t>
      </w:r>
      <w:r>
        <w:rPr>
          <w:rFonts w:hint="eastAsia" w:ascii="仿宋" w:hAnsi="仿宋" w:eastAsia="仿宋" w:cs="仿宋"/>
          <w:color w:val="auto"/>
          <w:sz w:val="32"/>
          <w:szCs w:val="32"/>
          <w:highlight w:val="none"/>
        </w:rPr>
        <w:t>年一般公共预算财政拨款支出预算1,246.89万元，与上年相比增加45.07万元，增长3.75%。</w:t>
      </w:r>
      <w:r>
        <w:rPr>
          <w:rFonts w:hint="eastAsia" w:ascii="仿宋" w:hAnsi="仿宋" w:eastAsia="仿宋" w:cs="仿宋"/>
          <w:color w:val="auto"/>
          <w:sz w:val="32"/>
          <w:szCs w:val="32"/>
          <w:highlight w:val="none"/>
          <w:u w:val="none"/>
        </w:rPr>
        <w:t>主要原因</w:t>
      </w:r>
      <w:r>
        <w:rPr>
          <w:rFonts w:hint="eastAsia" w:ascii="仿宋" w:hAnsi="仿宋" w:eastAsia="仿宋" w:cs="仿宋"/>
          <w:color w:val="auto"/>
          <w:sz w:val="32"/>
          <w:szCs w:val="32"/>
          <w:highlight w:val="none"/>
          <w:u w:val="none"/>
          <w:lang w:eastAsia="zh-CN"/>
        </w:rPr>
        <w:t>是本年度我单位在职人员增加，项目减少，综合因素导致收入增加</w:t>
      </w:r>
      <w:r>
        <w:rPr>
          <w:rFonts w:hint="eastAsia" w:ascii="仿宋" w:hAnsi="仿宋" w:eastAsia="仿宋" w:cs="仿宋"/>
          <w:color w:val="auto"/>
          <w:sz w:val="32"/>
          <w:szCs w:val="32"/>
          <w:highlight w:val="none"/>
          <w:u w:val="none"/>
        </w:rPr>
        <w:t>。</w:t>
      </w:r>
    </w:p>
    <w:p w14:paraId="36DBE331">
      <w:pPr>
        <w:pStyle w:val="6"/>
        <w:keepNext w:val="0"/>
        <w:keepLines w:val="0"/>
        <w:pageBreakBefore w:val="0"/>
        <w:widowControl w:val="0"/>
        <w:tabs>
          <w:tab w:val="left" w:pos="4275"/>
        </w:tabs>
        <w:kinsoku/>
        <w:wordWrap/>
        <w:overflowPunct/>
        <w:topLinePunct w:val="0"/>
        <w:autoSpaceDE/>
        <w:autoSpaceDN/>
        <w:bidi w:val="0"/>
        <w:adjustRightInd/>
        <w:snapToGrid/>
        <w:spacing w:after="0" w:line="360" w:lineRule="auto"/>
        <w:ind w:left="0" w:leftChars="0" w:right="0"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lang w:eastAsia="zh-CN"/>
        </w:rPr>
        <w:t>一</w:t>
      </w:r>
      <w:r>
        <w:rPr>
          <w:rFonts w:hint="eastAsia" w:ascii="仿宋" w:hAnsi="仿宋" w:eastAsia="仿宋" w:cs="仿宋"/>
          <w:b/>
          <w:bCs w:val="0"/>
          <w:color w:val="auto"/>
          <w:sz w:val="32"/>
          <w:szCs w:val="32"/>
          <w:highlight w:val="none"/>
        </w:rPr>
        <w:t>）公共安全（类）</w:t>
      </w:r>
    </w:p>
    <w:p w14:paraId="54A46A6F">
      <w:pPr>
        <w:pStyle w:val="6"/>
        <w:keepNext w:val="0"/>
        <w:keepLines w:val="0"/>
        <w:pageBreakBefore w:val="0"/>
        <w:widowControl w:val="0"/>
        <w:tabs>
          <w:tab w:val="left" w:pos="4275"/>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color w:val="auto"/>
          <w:sz w:val="32"/>
          <w:szCs w:val="32"/>
          <w:highlight w:val="none"/>
          <w:lang w:eastAsia="zh-CN"/>
        </w:rPr>
        <w:t>公共安全支出类</w:t>
      </w:r>
      <w:r>
        <w:rPr>
          <w:rFonts w:hint="eastAsia" w:ascii="仿宋" w:hAnsi="仿宋" w:eastAsia="仿宋" w:cs="仿宋"/>
          <w:color w:val="auto"/>
          <w:sz w:val="32"/>
          <w:szCs w:val="32"/>
          <w:highlight w:val="none"/>
        </w:rPr>
        <w:t>年初预算数为1,064.70万元，与上年相比增加30.96万元。其中</w:t>
      </w:r>
      <w:r>
        <w:rPr>
          <w:rFonts w:hint="eastAsia" w:ascii="仿宋" w:hAnsi="仿宋" w:eastAsia="仿宋" w:cs="仿宋"/>
          <w:color w:val="auto"/>
          <w:sz w:val="32"/>
          <w:szCs w:val="32"/>
          <w:highlight w:val="none"/>
          <w:lang w:eastAsia="zh-CN"/>
        </w:rPr>
        <w:t>：</w:t>
      </w:r>
    </w:p>
    <w:p w14:paraId="06002C38">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1．检察（款）行政运行（项）。年初预算810.70万元，与上年相比增加34.96万元，增长4.51%。主要原因</w:t>
      </w:r>
      <w:r>
        <w:rPr>
          <w:rFonts w:hint="eastAsia" w:ascii="仿宋" w:hAnsi="仿宋" w:eastAsia="仿宋" w:cs="仿宋"/>
          <w:color w:val="auto"/>
          <w:sz w:val="32"/>
          <w:szCs w:val="32"/>
          <w:highlight w:val="none"/>
          <w:lang w:eastAsia="zh-CN"/>
        </w:rPr>
        <w:t>是本年我单位新增在职人员，故此项费用相应增加</w:t>
      </w:r>
      <w:r>
        <w:rPr>
          <w:rFonts w:hint="eastAsia" w:ascii="仿宋" w:hAnsi="仿宋" w:eastAsia="仿宋" w:cs="仿宋"/>
          <w:color w:val="auto"/>
          <w:sz w:val="32"/>
          <w:szCs w:val="32"/>
          <w:highlight w:val="none"/>
        </w:rPr>
        <w:t>。</w:t>
      </w:r>
    </w:p>
    <w:p w14:paraId="1B2223AA">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检察（款）一般行政管理事务（项）。年初预算252.80万元，与上年相比</w:t>
      </w:r>
      <w:r>
        <w:rPr>
          <w:rFonts w:hint="eastAsia" w:ascii="仿宋" w:hAnsi="仿宋" w:eastAsia="仿宋" w:cs="仿宋"/>
          <w:color w:val="auto"/>
          <w:sz w:val="32"/>
          <w:szCs w:val="32"/>
          <w:highlight w:val="none"/>
          <w:lang w:eastAsia="zh-CN"/>
        </w:rPr>
        <w:t>减少</w:t>
      </w:r>
      <w:r>
        <w:rPr>
          <w:rFonts w:hint="eastAsia" w:ascii="仿宋" w:hAnsi="仿宋" w:eastAsia="仿宋" w:cs="仿宋"/>
          <w:color w:val="auto"/>
          <w:sz w:val="32"/>
          <w:szCs w:val="32"/>
          <w:highlight w:val="none"/>
        </w:rPr>
        <w:t>4.00万元，</w:t>
      </w:r>
      <w:r>
        <w:rPr>
          <w:rFonts w:hint="eastAsia" w:ascii="仿宋" w:hAnsi="仿宋" w:eastAsia="仿宋" w:cs="仿宋"/>
          <w:color w:val="auto"/>
          <w:sz w:val="32"/>
          <w:szCs w:val="32"/>
          <w:highlight w:val="none"/>
          <w:lang w:eastAsia="zh-CN"/>
        </w:rPr>
        <w:t>减少</w:t>
      </w:r>
      <w:r>
        <w:rPr>
          <w:rFonts w:hint="eastAsia" w:ascii="仿宋" w:hAnsi="仿宋" w:eastAsia="仿宋" w:cs="仿宋"/>
          <w:color w:val="auto"/>
          <w:sz w:val="32"/>
          <w:szCs w:val="32"/>
          <w:highlight w:val="none"/>
        </w:rPr>
        <w:t>1.56%。变动原因：</w:t>
      </w:r>
      <w:r>
        <w:rPr>
          <w:rFonts w:hint="eastAsia" w:ascii="仿宋" w:hAnsi="仿宋" w:eastAsia="仿宋" w:cs="仿宋"/>
          <w:color w:val="auto"/>
          <w:sz w:val="32"/>
          <w:szCs w:val="32"/>
          <w:highlight w:val="none"/>
          <w:lang w:eastAsia="zh-CN"/>
        </w:rPr>
        <w:t>本年我单位项目减少，故此项费用相应减少</w:t>
      </w:r>
      <w:r>
        <w:rPr>
          <w:rFonts w:hint="eastAsia" w:ascii="仿宋" w:hAnsi="仿宋" w:eastAsia="仿宋" w:cs="仿宋"/>
          <w:color w:val="auto"/>
          <w:sz w:val="32"/>
          <w:szCs w:val="32"/>
          <w:highlight w:val="none"/>
        </w:rPr>
        <w:t>。</w:t>
      </w:r>
    </w:p>
    <w:p w14:paraId="29AC733B">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检察（款）其他检察支出（项）。年初预算1.20万元，与上年相比</w:t>
      </w:r>
      <w:r>
        <w:rPr>
          <w:rFonts w:hint="eastAsia" w:ascii="仿宋" w:hAnsi="仿宋" w:eastAsia="仿宋" w:cs="仿宋"/>
          <w:color w:val="auto"/>
          <w:sz w:val="32"/>
          <w:szCs w:val="32"/>
          <w:highlight w:val="none"/>
          <w:lang w:eastAsia="zh-CN"/>
        </w:rPr>
        <w:t>增加1.20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，增长</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%。主要原因</w:t>
      </w:r>
      <w:r>
        <w:rPr>
          <w:rFonts w:hint="eastAsia" w:ascii="仿宋" w:hAnsi="仿宋" w:eastAsia="仿宋" w:cs="仿宋"/>
          <w:color w:val="auto"/>
          <w:sz w:val="32"/>
          <w:szCs w:val="32"/>
          <w:highlight w:val="none"/>
          <w:lang w:eastAsia="zh-CN"/>
        </w:rPr>
        <w:t>是本年我单位新增在职人员，故此项费用相应增加</w:t>
      </w:r>
      <w:r>
        <w:rPr>
          <w:rFonts w:hint="eastAsia" w:ascii="仿宋" w:hAnsi="仿宋" w:eastAsia="仿宋" w:cs="仿宋"/>
          <w:color w:val="auto"/>
          <w:sz w:val="32"/>
          <w:szCs w:val="32"/>
          <w:highlight w:val="none"/>
        </w:rPr>
        <w:t>。</w:t>
      </w:r>
    </w:p>
    <w:p w14:paraId="0A3B85C9">
      <w:pPr>
        <w:pStyle w:val="6"/>
        <w:keepNext w:val="0"/>
        <w:keepLines w:val="0"/>
        <w:pageBreakBefore w:val="0"/>
        <w:widowControl w:val="0"/>
        <w:tabs>
          <w:tab w:val="left" w:pos="4275"/>
        </w:tabs>
        <w:kinsoku/>
        <w:wordWrap/>
        <w:overflowPunct/>
        <w:topLinePunct w:val="0"/>
        <w:autoSpaceDE/>
        <w:autoSpaceDN/>
        <w:bidi w:val="0"/>
        <w:adjustRightInd/>
        <w:snapToGrid/>
        <w:spacing w:after="0" w:line="360" w:lineRule="auto"/>
        <w:ind w:left="0" w:leftChars="0" w:right="0"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lang w:eastAsia="zh-CN"/>
        </w:rPr>
        <w:t>二</w:t>
      </w:r>
      <w:r>
        <w:rPr>
          <w:rFonts w:hint="eastAsia" w:ascii="仿宋" w:hAnsi="仿宋" w:eastAsia="仿宋" w:cs="仿宋"/>
          <w:b/>
          <w:bCs w:val="0"/>
          <w:color w:val="auto"/>
          <w:sz w:val="32"/>
          <w:szCs w:val="32"/>
          <w:highlight w:val="none"/>
        </w:rPr>
        <w:t>）社会保障和就业（类）</w:t>
      </w:r>
    </w:p>
    <w:p w14:paraId="7AAFB906">
      <w:pPr>
        <w:pStyle w:val="6"/>
        <w:keepNext w:val="0"/>
        <w:keepLines w:val="0"/>
        <w:pageBreakBefore w:val="0"/>
        <w:widowControl w:val="0"/>
        <w:tabs>
          <w:tab w:val="left" w:pos="4275"/>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color w:val="auto"/>
          <w:sz w:val="32"/>
          <w:szCs w:val="32"/>
          <w:highlight w:val="none"/>
          <w:lang w:eastAsia="zh-CN"/>
        </w:rPr>
        <w:t>社会保障和就业支出类</w:t>
      </w:r>
      <w:r>
        <w:rPr>
          <w:rFonts w:hint="eastAsia" w:ascii="仿宋" w:hAnsi="仿宋" w:eastAsia="仿宋" w:cs="仿宋"/>
          <w:color w:val="auto"/>
          <w:sz w:val="32"/>
          <w:szCs w:val="32"/>
          <w:highlight w:val="none"/>
        </w:rPr>
        <w:t>年初预算数为85.80万元，与上年相比增加7.99万元。其中</w:t>
      </w:r>
      <w:r>
        <w:rPr>
          <w:rFonts w:hint="eastAsia" w:ascii="仿宋" w:hAnsi="仿宋" w:eastAsia="仿宋" w:cs="仿宋"/>
          <w:color w:val="auto"/>
          <w:sz w:val="32"/>
          <w:szCs w:val="32"/>
          <w:highlight w:val="none"/>
          <w:lang w:eastAsia="zh-CN"/>
        </w:rPr>
        <w:t>：</w:t>
      </w:r>
    </w:p>
    <w:p w14:paraId="61324B1F">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1．行政事业单位养老支出（款）机关事业单位基本养老保险缴费支出（项）。年初预算57.20万元，与上年相比增加5.33万元，增长10.27%。变动原因：</w:t>
      </w:r>
      <w:r>
        <w:rPr>
          <w:rFonts w:hint="eastAsia" w:ascii="仿宋" w:hAnsi="仿宋" w:eastAsia="仿宋" w:cs="仿宋"/>
          <w:color w:val="auto"/>
          <w:sz w:val="32"/>
          <w:szCs w:val="32"/>
          <w:highlight w:val="none"/>
          <w:lang w:eastAsia="zh-CN"/>
        </w:rPr>
        <w:t>本年我单位新增在职人员，导致该项经费支出增加</w:t>
      </w:r>
      <w:r>
        <w:rPr>
          <w:rFonts w:hint="eastAsia" w:ascii="仿宋" w:hAnsi="仿宋" w:eastAsia="仿宋" w:cs="仿宋"/>
          <w:color w:val="auto"/>
          <w:sz w:val="32"/>
          <w:szCs w:val="32"/>
          <w:highlight w:val="none"/>
        </w:rPr>
        <w:t>。</w:t>
      </w:r>
    </w:p>
    <w:p w14:paraId="5517E9E1">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行政事业单位养老支出（款）机关事业单位职业年金缴费支出（项）。年初预算28.60万元，与上年相比</w:t>
      </w:r>
      <w:r>
        <w:rPr>
          <w:rFonts w:hint="eastAsia" w:ascii="仿宋" w:hAnsi="仿宋" w:eastAsia="仿宋" w:cs="仿宋"/>
          <w:color w:val="auto"/>
          <w:sz w:val="32"/>
          <w:szCs w:val="32"/>
          <w:highlight w:val="none"/>
          <w:lang w:eastAsia="zh-CN"/>
        </w:rPr>
        <w:t>增加</w:t>
      </w:r>
      <w:r>
        <w:rPr>
          <w:rFonts w:hint="eastAsia" w:ascii="仿宋" w:hAnsi="仿宋" w:eastAsia="仿宋" w:cs="仿宋"/>
          <w:color w:val="auto"/>
          <w:sz w:val="32"/>
          <w:szCs w:val="32"/>
          <w:highlight w:val="none"/>
        </w:rPr>
        <w:t>2.66万元，</w:t>
      </w:r>
      <w:r>
        <w:rPr>
          <w:rFonts w:hint="eastAsia" w:ascii="仿宋" w:hAnsi="仿宋" w:eastAsia="仿宋" w:cs="仿宋"/>
          <w:color w:val="auto"/>
          <w:sz w:val="32"/>
          <w:szCs w:val="32"/>
          <w:highlight w:val="none"/>
          <w:lang w:eastAsia="zh-CN"/>
        </w:rPr>
        <w:t>增长</w:t>
      </w:r>
      <w:r>
        <w:rPr>
          <w:rFonts w:hint="eastAsia" w:ascii="仿宋" w:hAnsi="仿宋" w:eastAsia="仿宋" w:cs="仿宋"/>
          <w:color w:val="auto"/>
          <w:sz w:val="32"/>
          <w:szCs w:val="32"/>
          <w:highlight w:val="none"/>
        </w:rPr>
        <w:t>10.27%。变动原因：</w:t>
      </w:r>
      <w:r>
        <w:rPr>
          <w:rFonts w:hint="eastAsia" w:ascii="仿宋" w:hAnsi="仿宋" w:eastAsia="仿宋" w:cs="仿宋"/>
          <w:color w:val="auto"/>
          <w:sz w:val="32"/>
          <w:szCs w:val="32"/>
          <w:highlight w:val="none"/>
          <w:lang w:eastAsia="zh-CN"/>
        </w:rPr>
        <w:t>本年我单位新增在职人员，导致该项经费支出增加</w:t>
      </w:r>
      <w:r>
        <w:rPr>
          <w:rFonts w:hint="eastAsia" w:ascii="仿宋" w:hAnsi="仿宋" w:eastAsia="仿宋" w:cs="仿宋"/>
          <w:color w:val="auto"/>
          <w:sz w:val="32"/>
          <w:szCs w:val="32"/>
          <w:highlight w:val="none"/>
        </w:rPr>
        <w:t>。</w:t>
      </w:r>
    </w:p>
    <w:p w14:paraId="02C0E67B">
      <w:pPr>
        <w:pStyle w:val="6"/>
        <w:keepNext w:val="0"/>
        <w:keepLines w:val="0"/>
        <w:pageBreakBefore w:val="0"/>
        <w:widowControl w:val="0"/>
        <w:tabs>
          <w:tab w:val="left" w:pos="4275"/>
        </w:tabs>
        <w:kinsoku/>
        <w:wordWrap/>
        <w:overflowPunct/>
        <w:topLinePunct w:val="0"/>
        <w:autoSpaceDE/>
        <w:autoSpaceDN/>
        <w:bidi w:val="0"/>
        <w:adjustRightInd/>
        <w:snapToGrid/>
        <w:spacing w:after="0" w:line="360" w:lineRule="auto"/>
        <w:ind w:left="0" w:leftChars="0" w:right="0"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lang w:eastAsia="zh-CN"/>
        </w:rPr>
        <w:t>三</w:t>
      </w:r>
      <w:r>
        <w:rPr>
          <w:rFonts w:hint="eastAsia" w:ascii="仿宋" w:hAnsi="仿宋" w:eastAsia="仿宋" w:cs="仿宋"/>
          <w:b/>
          <w:bCs w:val="0"/>
          <w:color w:val="auto"/>
          <w:sz w:val="32"/>
          <w:szCs w:val="32"/>
          <w:highlight w:val="none"/>
        </w:rPr>
        <w:t>）卫生健康支出（类）</w:t>
      </w:r>
    </w:p>
    <w:p w14:paraId="1AD65F2C">
      <w:pPr>
        <w:pStyle w:val="6"/>
        <w:keepNext w:val="0"/>
        <w:keepLines w:val="0"/>
        <w:pageBreakBefore w:val="0"/>
        <w:widowControl w:val="0"/>
        <w:tabs>
          <w:tab w:val="left" w:pos="4275"/>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color w:val="auto"/>
          <w:sz w:val="32"/>
          <w:szCs w:val="32"/>
          <w:highlight w:val="none"/>
          <w:lang w:eastAsia="zh-CN"/>
        </w:rPr>
        <w:t>卫生健康支出类</w:t>
      </w:r>
      <w:r>
        <w:rPr>
          <w:rFonts w:hint="eastAsia" w:ascii="仿宋" w:hAnsi="仿宋" w:eastAsia="仿宋" w:cs="仿宋"/>
          <w:color w:val="auto"/>
          <w:sz w:val="32"/>
          <w:szCs w:val="32"/>
          <w:highlight w:val="none"/>
        </w:rPr>
        <w:t>年初预算数为26.90万元，与上年相比增加2.20万元。其中</w:t>
      </w:r>
      <w:r>
        <w:rPr>
          <w:rFonts w:hint="eastAsia" w:ascii="仿宋" w:hAnsi="仿宋" w:eastAsia="仿宋" w:cs="仿宋"/>
          <w:color w:val="auto"/>
          <w:sz w:val="32"/>
          <w:szCs w:val="32"/>
          <w:highlight w:val="none"/>
          <w:lang w:eastAsia="zh-CN"/>
        </w:rPr>
        <w:t>：</w:t>
      </w:r>
    </w:p>
    <w:p w14:paraId="756FB4CF">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1．行政事业单位医疗（款）行政单位医疗（项）。年初预算26.90万元，与上年相比增加2.20万元，增长8.90%。变动原因：</w:t>
      </w:r>
      <w:r>
        <w:rPr>
          <w:rFonts w:hint="eastAsia" w:ascii="仿宋" w:hAnsi="仿宋" w:eastAsia="仿宋" w:cs="仿宋"/>
          <w:color w:val="auto"/>
          <w:sz w:val="32"/>
          <w:szCs w:val="32"/>
          <w:highlight w:val="none"/>
          <w:lang w:eastAsia="zh-CN"/>
        </w:rPr>
        <w:t>本年我单位新增在职人员，导致该项经费支出增加</w:t>
      </w:r>
      <w:r>
        <w:rPr>
          <w:rFonts w:hint="eastAsia" w:ascii="仿宋" w:hAnsi="仿宋" w:eastAsia="仿宋" w:cs="仿宋"/>
          <w:color w:val="auto"/>
          <w:sz w:val="32"/>
          <w:szCs w:val="32"/>
          <w:highlight w:val="none"/>
        </w:rPr>
        <w:t>。</w:t>
      </w:r>
    </w:p>
    <w:p w14:paraId="0BB8D190">
      <w:pPr>
        <w:pStyle w:val="6"/>
        <w:keepNext w:val="0"/>
        <w:keepLines w:val="0"/>
        <w:pageBreakBefore w:val="0"/>
        <w:widowControl w:val="0"/>
        <w:tabs>
          <w:tab w:val="left" w:pos="4275"/>
        </w:tabs>
        <w:kinsoku/>
        <w:wordWrap/>
        <w:overflowPunct/>
        <w:topLinePunct w:val="0"/>
        <w:autoSpaceDE/>
        <w:autoSpaceDN/>
        <w:bidi w:val="0"/>
        <w:adjustRightInd/>
        <w:snapToGrid/>
        <w:spacing w:after="0" w:line="360" w:lineRule="auto"/>
        <w:ind w:left="0" w:leftChars="0" w:right="0" w:firstLine="643" w:firstLineChars="200"/>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w:t>
      </w:r>
      <w:r>
        <w:rPr>
          <w:rFonts w:hint="eastAsia" w:ascii="仿宋" w:hAnsi="仿宋" w:eastAsia="仿宋" w:cs="仿宋"/>
          <w:b/>
          <w:bCs w:val="0"/>
          <w:color w:val="auto"/>
          <w:sz w:val="32"/>
          <w:szCs w:val="32"/>
          <w:highlight w:val="none"/>
          <w:lang w:eastAsia="zh-CN"/>
        </w:rPr>
        <w:t>四</w:t>
      </w:r>
      <w:r>
        <w:rPr>
          <w:rFonts w:hint="eastAsia" w:ascii="仿宋" w:hAnsi="仿宋" w:eastAsia="仿宋" w:cs="仿宋"/>
          <w:b/>
          <w:bCs w:val="0"/>
          <w:color w:val="auto"/>
          <w:sz w:val="32"/>
          <w:szCs w:val="32"/>
          <w:highlight w:val="none"/>
        </w:rPr>
        <w:t>）住房保障支出（类）</w:t>
      </w:r>
    </w:p>
    <w:p w14:paraId="216647EB">
      <w:pPr>
        <w:pStyle w:val="6"/>
        <w:keepNext w:val="0"/>
        <w:keepLines w:val="0"/>
        <w:pageBreakBefore w:val="0"/>
        <w:widowControl w:val="0"/>
        <w:tabs>
          <w:tab w:val="left" w:pos="4275"/>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b/>
          <w:bCs w:val="0"/>
          <w:color w:val="auto"/>
          <w:sz w:val="32"/>
          <w:szCs w:val="32"/>
          <w:highlight w:val="none"/>
          <w:lang w:eastAsia="zh-CN"/>
        </w:rPr>
      </w:pPr>
      <w:r>
        <w:rPr>
          <w:rFonts w:hint="eastAsia" w:ascii="仿宋" w:hAnsi="仿宋" w:eastAsia="仿宋" w:cs="仿宋"/>
          <w:color w:val="auto"/>
          <w:sz w:val="32"/>
          <w:szCs w:val="32"/>
          <w:highlight w:val="none"/>
          <w:lang w:eastAsia="zh-CN"/>
        </w:rPr>
        <w:t>住房保障支出类</w:t>
      </w:r>
      <w:r>
        <w:rPr>
          <w:rFonts w:hint="eastAsia" w:ascii="仿宋" w:hAnsi="仿宋" w:eastAsia="仿宋" w:cs="仿宋"/>
          <w:color w:val="auto"/>
          <w:sz w:val="32"/>
          <w:szCs w:val="32"/>
          <w:highlight w:val="none"/>
        </w:rPr>
        <w:t>年初预算数为69.49万元，与上年相比增加3.92万元。其中</w:t>
      </w:r>
      <w:r>
        <w:rPr>
          <w:rFonts w:hint="eastAsia" w:ascii="仿宋" w:hAnsi="仿宋" w:eastAsia="仿宋" w:cs="仿宋"/>
          <w:color w:val="auto"/>
          <w:sz w:val="32"/>
          <w:szCs w:val="32"/>
          <w:highlight w:val="none"/>
          <w:lang w:eastAsia="zh-CN"/>
        </w:rPr>
        <w:t>：</w:t>
      </w:r>
    </w:p>
    <w:p w14:paraId="4B76DF98">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1．住房改革支出（款）住房公积金（项）。年初预算69.49万元，与上年相比增加3.92万元，增长5.99%。变动原因：</w:t>
      </w:r>
      <w:r>
        <w:rPr>
          <w:rFonts w:hint="eastAsia" w:ascii="仿宋" w:hAnsi="仿宋" w:eastAsia="仿宋" w:cs="仿宋"/>
          <w:color w:val="auto"/>
          <w:sz w:val="32"/>
          <w:szCs w:val="32"/>
          <w:highlight w:val="none"/>
          <w:lang w:eastAsia="zh-CN"/>
        </w:rPr>
        <w:t>本年我单位新增在职人员，导致该项经费支出增加</w:t>
      </w:r>
      <w:r>
        <w:rPr>
          <w:rFonts w:hint="eastAsia" w:ascii="仿宋" w:hAnsi="仿宋" w:eastAsia="仿宋" w:cs="仿宋"/>
          <w:color w:val="auto"/>
          <w:sz w:val="32"/>
          <w:szCs w:val="32"/>
          <w:highlight w:val="none"/>
        </w:rPr>
        <w:t>。</w:t>
      </w:r>
    </w:p>
    <w:p w14:paraId="5B32087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eastAsia="黑体" w:cs="黑体"/>
          <w:b/>
          <w:bCs/>
          <w:color w:val="auto"/>
          <w:sz w:val="32"/>
          <w:szCs w:val="36"/>
          <w:highlight w:val="none"/>
          <w:u w:val="none"/>
        </w:rPr>
      </w:pPr>
      <w:r>
        <w:rPr>
          <w:rFonts w:hint="eastAsia" w:eastAsia="黑体" w:cs="黑体"/>
          <w:b/>
          <w:bCs/>
          <w:color w:val="auto"/>
          <w:sz w:val="32"/>
          <w:szCs w:val="36"/>
          <w:highlight w:val="none"/>
          <w:u w:val="none"/>
        </w:rPr>
        <w:t>六、一般公共预算基本支出预算情况说明</w:t>
      </w:r>
    </w:p>
    <w:p w14:paraId="3038AA88">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和林格尔县人民检察院</w:t>
      </w:r>
      <w:r>
        <w:rPr>
          <w:rFonts w:hint="eastAsia" w:ascii="仿宋" w:hAnsi="仿宋" w:eastAsia="仿宋" w:cs="仿宋"/>
          <w:color w:val="auto"/>
          <w:sz w:val="32"/>
          <w:szCs w:val="32"/>
          <w:highlight w:val="none"/>
          <w:u w:val="none"/>
          <w:lang w:val="en-US" w:eastAsia="zh-CN"/>
        </w:rPr>
        <w:t>2026</w:t>
      </w:r>
      <w:r>
        <w:rPr>
          <w:rFonts w:hint="eastAsia" w:ascii="仿宋" w:hAnsi="仿宋" w:eastAsia="仿宋" w:cs="仿宋"/>
          <w:color w:val="auto"/>
          <w:sz w:val="32"/>
          <w:szCs w:val="32"/>
          <w:highlight w:val="none"/>
          <w:u w:val="none"/>
        </w:rPr>
        <w:t>年度一般公共预算财政拨款基本支出预算</w:t>
      </w:r>
      <w:r>
        <w:rPr>
          <w:rFonts w:hint="eastAsia" w:ascii="仿宋" w:hAnsi="仿宋" w:eastAsia="仿宋" w:cs="仿宋"/>
          <w:color w:val="auto"/>
          <w:sz w:val="32"/>
          <w:szCs w:val="32"/>
          <w:highlight w:val="none"/>
          <w:u w:val="none"/>
          <w:lang w:val="en-US" w:eastAsia="zh-CN"/>
        </w:rPr>
        <w:t>992.89</w:t>
      </w:r>
      <w:r>
        <w:rPr>
          <w:rFonts w:hint="eastAsia" w:ascii="仿宋" w:hAnsi="仿宋" w:eastAsia="仿宋" w:cs="仿宋"/>
          <w:color w:val="auto"/>
          <w:sz w:val="32"/>
          <w:szCs w:val="32"/>
          <w:highlight w:val="none"/>
          <w:u w:val="none"/>
        </w:rPr>
        <w:t>万元，与上年相比增加</w:t>
      </w:r>
      <w:r>
        <w:rPr>
          <w:rFonts w:hint="eastAsia" w:ascii="仿宋" w:hAnsi="仿宋" w:eastAsia="仿宋" w:cs="仿宋"/>
          <w:color w:val="auto"/>
          <w:sz w:val="32"/>
          <w:szCs w:val="32"/>
          <w:highlight w:val="none"/>
          <w:u w:val="none"/>
          <w:lang w:val="en-US" w:eastAsia="zh-CN"/>
        </w:rPr>
        <w:t>49.07</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5</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其中：</w:t>
      </w:r>
    </w:p>
    <w:p w14:paraId="3424768B">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bCs/>
          <w:color w:val="auto"/>
          <w:sz w:val="32"/>
          <w:szCs w:val="32"/>
          <w:highlight w:val="none"/>
          <w:u w:val="none"/>
        </w:rPr>
        <w:t>（一）人员经费</w:t>
      </w:r>
      <w:r>
        <w:rPr>
          <w:rFonts w:hint="eastAsia" w:ascii="仿宋" w:hAnsi="仿宋" w:eastAsia="仿宋" w:cs="仿宋"/>
          <w:bCs/>
          <w:color w:val="auto"/>
          <w:sz w:val="32"/>
          <w:szCs w:val="32"/>
          <w:highlight w:val="none"/>
          <w:u w:val="none"/>
          <w:lang w:val="en-US" w:eastAsia="zh-CN"/>
        </w:rPr>
        <w:t>884.99</w:t>
      </w:r>
      <w:r>
        <w:rPr>
          <w:rFonts w:hint="eastAsia" w:ascii="仿宋" w:hAnsi="仿宋" w:eastAsia="仿宋" w:cs="仿宋"/>
          <w:bCs/>
          <w:color w:val="auto"/>
          <w:sz w:val="32"/>
          <w:szCs w:val="32"/>
          <w:highlight w:val="none"/>
          <w:u w:val="none"/>
        </w:rPr>
        <w:t>万元</w:t>
      </w:r>
      <w:r>
        <w:rPr>
          <w:rFonts w:hint="eastAsia" w:ascii="仿宋" w:hAnsi="仿宋" w:eastAsia="仿宋" w:cs="仿宋"/>
          <w:color w:val="auto"/>
          <w:sz w:val="32"/>
          <w:szCs w:val="32"/>
          <w:highlight w:val="none"/>
          <w:u w:val="none"/>
        </w:rPr>
        <w:t>。主要包括：基本工资201.5</w:t>
      </w:r>
      <w:r>
        <w:rPr>
          <w:rFonts w:hint="eastAsia" w:ascii="仿宋" w:hAnsi="仿宋" w:eastAsia="仿宋" w:cs="仿宋"/>
          <w:color w:val="auto"/>
          <w:sz w:val="32"/>
          <w:szCs w:val="32"/>
          <w:highlight w:val="none"/>
          <w:u w:val="none"/>
          <w:lang w:val="en-US" w:eastAsia="zh-CN"/>
        </w:rPr>
        <w:t>1万元、</w:t>
      </w:r>
      <w:r>
        <w:rPr>
          <w:rFonts w:hint="eastAsia" w:ascii="仿宋" w:hAnsi="仿宋" w:eastAsia="仿宋" w:cs="仿宋"/>
          <w:color w:val="auto"/>
          <w:sz w:val="32"/>
          <w:szCs w:val="32"/>
          <w:highlight w:val="none"/>
          <w:u w:val="none"/>
        </w:rPr>
        <w:t>津贴补贴301.66</w:t>
      </w:r>
      <w:r>
        <w:rPr>
          <w:rFonts w:hint="eastAsia" w:ascii="仿宋" w:hAnsi="仿宋" w:eastAsia="仿宋" w:cs="仿宋"/>
          <w:color w:val="auto"/>
          <w:sz w:val="32"/>
          <w:szCs w:val="32"/>
          <w:highlight w:val="none"/>
          <w:u w:val="none"/>
          <w:lang w:val="en-US" w:eastAsia="zh-CN"/>
        </w:rPr>
        <w:t>万元、</w:t>
      </w:r>
      <w:r>
        <w:rPr>
          <w:rFonts w:hint="eastAsia" w:ascii="仿宋" w:hAnsi="仿宋" w:eastAsia="仿宋" w:cs="仿宋"/>
          <w:color w:val="auto"/>
          <w:sz w:val="32"/>
          <w:szCs w:val="32"/>
          <w:highlight w:val="none"/>
          <w:u w:val="none"/>
        </w:rPr>
        <w:t>奖金47.38</w:t>
      </w:r>
      <w:r>
        <w:rPr>
          <w:rFonts w:hint="eastAsia" w:ascii="仿宋" w:hAnsi="仿宋" w:eastAsia="仿宋" w:cs="仿宋"/>
          <w:color w:val="auto"/>
          <w:sz w:val="32"/>
          <w:szCs w:val="32"/>
          <w:highlight w:val="none"/>
          <w:u w:val="none"/>
          <w:lang w:val="en-US" w:eastAsia="zh-CN"/>
        </w:rPr>
        <w:t>万元、</w:t>
      </w:r>
      <w:r>
        <w:rPr>
          <w:rFonts w:hint="eastAsia" w:ascii="仿宋" w:hAnsi="仿宋" w:eastAsia="仿宋" w:cs="仿宋"/>
          <w:color w:val="auto"/>
          <w:sz w:val="32"/>
          <w:szCs w:val="32"/>
          <w:highlight w:val="none"/>
          <w:u w:val="none"/>
        </w:rPr>
        <w:t>机关事业单位基本养老保险缴费57.</w:t>
      </w:r>
      <w:r>
        <w:rPr>
          <w:rFonts w:hint="eastAsia" w:ascii="仿宋" w:hAnsi="仿宋" w:eastAsia="仿宋" w:cs="仿宋"/>
          <w:color w:val="auto"/>
          <w:sz w:val="32"/>
          <w:szCs w:val="32"/>
          <w:highlight w:val="none"/>
          <w:u w:val="none"/>
          <w:lang w:val="en-US" w:eastAsia="zh-CN"/>
        </w:rPr>
        <w:t>2万元、</w:t>
      </w:r>
      <w:r>
        <w:rPr>
          <w:rFonts w:hint="eastAsia" w:ascii="仿宋" w:hAnsi="仿宋" w:eastAsia="仿宋" w:cs="仿宋"/>
          <w:color w:val="auto"/>
          <w:sz w:val="32"/>
          <w:szCs w:val="32"/>
          <w:highlight w:val="none"/>
          <w:u w:val="none"/>
        </w:rPr>
        <w:t>职业年金缴费28.</w:t>
      </w:r>
      <w:r>
        <w:rPr>
          <w:rFonts w:hint="eastAsia" w:ascii="仿宋" w:hAnsi="仿宋" w:eastAsia="仿宋" w:cs="仿宋"/>
          <w:color w:val="auto"/>
          <w:sz w:val="32"/>
          <w:szCs w:val="32"/>
          <w:highlight w:val="none"/>
          <w:u w:val="none"/>
          <w:lang w:val="en-US" w:eastAsia="zh-CN"/>
        </w:rPr>
        <w:t>6万元、</w:t>
      </w:r>
      <w:r>
        <w:rPr>
          <w:rFonts w:hint="eastAsia" w:ascii="仿宋" w:hAnsi="仿宋" w:eastAsia="仿宋" w:cs="仿宋"/>
          <w:color w:val="auto"/>
          <w:sz w:val="32"/>
          <w:szCs w:val="32"/>
          <w:highlight w:val="none"/>
          <w:u w:val="none"/>
        </w:rPr>
        <w:t>职工基本医疗保险缴费26.</w:t>
      </w:r>
      <w:r>
        <w:rPr>
          <w:rFonts w:hint="eastAsia" w:ascii="仿宋" w:hAnsi="仿宋" w:eastAsia="仿宋" w:cs="仿宋"/>
          <w:color w:val="auto"/>
          <w:sz w:val="32"/>
          <w:szCs w:val="32"/>
          <w:highlight w:val="none"/>
          <w:u w:val="none"/>
          <w:lang w:val="en-US" w:eastAsia="zh-CN"/>
        </w:rPr>
        <w:t>9万元、</w:t>
      </w:r>
      <w:r>
        <w:rPr>
          <w:rFonts w:hint="eastAsia" w:ascii="仿宋" w:hAnsi="仿宋" w:eastAsia="仿宋" w:cs="仿宋"/>
          <w:color w:val="auto"/>
          <w:sz w:val="32"/>
          <w:szCs w:val="32"/>
          <w:highlight w:val="none"/>
          <w:u w:val="none"/>
        </w:rPr>
        <w:t>其他社会保障缴费0.7</w:t>
      </w:r>
      <w:r>
        <w:rPr>
          <w:rFonts w:hint="eastAsia" w:ascii="仿宋" w:hAnsi="仿宋" w:eastAsia="仿宋" w:cs="仿宋"/>
          <w:color w:val="auto"/>
          <w:sz w:val="32"/>
          <w:szCs w:val="32"/>
          <w:highlight w:val="none"/>
          <w:u w:val="none"/>
          <w:lang w:val="en-US" w:eastAsia="zh-CN"/>
        </w:rPr>
        <w:t>3万元、</w:t>
      </w:r>
      <w:r>
        <w:rPr>
          <w:rFonts w:hint="eastAsia" w:ascii="仿宋" w:hAnsi="仿宋" w:eastAsia="仿宋" w:cs="仿宋"/>
          <w:color w:val="auto"/>
          <w:sz w:val="32"/>
          <w:szCs w:val="32"/>
          <w:highlight w:val="none"/>
          <w:u w:val="none"/>
        </w:rPr>
        <w:t>住房公积金69.</w:t>
      </w:r>
      <w:r>
        <w:rPr>
          <w:rFonts w:hint="eastAsia" w:ascii="仿宋" w:hAnsi="仿宋" w:eastAsia="仿宋" w:cs="仿宋"/>
          <w:color w:val="auto"/>
          <w:sz w:val="32"/>
          <w:szCs w:val="32"/>
          <w:highlight w:val="none"/>
          <w:u w:val="none"/>
          <w:lang w:val="en-US" w:eastAsia="zh-CN"/>
        </w:rPr>
        <w:t>5万元、</w:t>
      </w:r>
      <w:r>
        <w:rPr>
          <w:rFonts w:hint="eastAsia" w:ascii="仿宋" w:hAnsi="仿宋" w:eastAsia="仿宋" w:cs="仿宋"/>
          <w:color w:val="auto"/>
          <w:sz w:val="32"/>
          <w:szCs w:val="32"/>
          <w:highlight w:val="none"/>
          <w:u w:val="none"/>
        </w:rPr>
        <w:t>其他工资福利支出151.52</w:t>
      </w:r>
      <w:r>
        <w:rPr>
          <w:rFonts w:hint="eastAsia" w:ascii="仿宋" w:hAnsi="仿宋" w:eastAsia="仿宋" w:cs="仿宋"/>
          <w:color w:val="auto"/>
          <w:sz w:val="32"/>
          <w:szCs w:val="32"/>
          <w:highlight w:val="none"/>
          <w:u w:val="none"/>
          <w:lang w:val="en-US" w:eastAsia="zh-CN"/>
        </w:rPr>
        <w:t>万元。</w:t>
      </w:r>
    </w:p>
    <w:p w14:paraId="10CC1123">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bCs/>
          <w:color w:val="auto"/>
          <w:sz w:val="32"/>
          <w:szCs w:val="32"/>
          <w:highlight w:val="none"/>
          <w:u w:val="none"/>
        </w:rPr>
        <w:t>（二）公用经费</w:t>
      </w:r>
      <w:r>
        <w:rPr>
          <w:rFonts w:hint="eastAsia" w:ascii="仿宋" w:hAnsi="仿宋" w:eastAsia="仿宋" w:cs="仿宋"/>
          <w:bCs/>
          <w:color w:val="auto"/>
          <w:sz w:val="32"/>
          <w:szCs w:val="32"/>
          <w:highlight w:val="none"/>
          <w:u w:val="none"/>
          <w:lang w:val="en-US" w:eastAsia="zh-CN"/>
        </w:rPr>
        <w:t>107.9</w:t>
      </w:r>
      <w:r>
        <w:rPr>
          <w:rFonts w:hint="eastAsia" w:ascii="仿宋" w:hAnsi="仿宋" w:eastAsia="仿宋" w:cs="仿宋"/>
          <w:bCs/>
          <w:color w:val="auto"/>
          <w:sz w:val="32"/>
          <w:szCs w:val="32"/>
          <w:highlight w:val="none"/>
          <w:u w:val="none"/>
        </w:rPr>
        <w:t>万元</w:t>
      </w:r>
      <w:r>
        <w:rPr>
          <w:rFonts w:hint="eastAsia" w:ascii="仿宋" w:hAnsi="仿宋" w:eastAsia="仿宋" w:cs="仿宋"/>
          <w:color w:val="auto"/>
          <w:sz w:val="32"/>
          <w:szCs w:val="32"/>
          <w:highlight w:val="none"/>
          <w:u w:val="none"/>
        </w:rPr>
        <w:t>。主要包括：办公费21.07</w:t>
      </w:r>
      <w:r>
        <w:rPr>
          <w:rFonts w:hint="eastAsia" w:ascii="仿宋" w:hAnsi="仿宋" w:eastAsia="仿宋" w:cs="仿宋"/>
          <w:color w:val="auto"/>
          <w:sz w:val="32"/>
          <w:szCs w:val="32"/>
          <w:highlight w:val="none"/>
          <w:u w:val="none"/>
          <w:lang w:val="en-US" w:eastAsia="zh-CN"/>
        </w:rPr>
        <w:t>万元、</w:t>
      </w:r>
      <w:r>
        <w:rPr>
          <w:rFonts w:hint="eastAsia" w:ascii="仿宋" w:hAnsi="仿宋" w:eastAsia="仿宋" w:cs="仿宋"/>
          <w:color w:val="auto"/>
          <w:sz w:val="32"/>
          <w:szCs w:val="32"/>
          <w:highlight w:val="none"/>
          <w:u w:val="none"/>
        </w:rPr>
        <w:t>水费3</w:t>
      </w:r>
      <w:r>
        <w:rPr>
          <w:rFonts w:hint="eastAsia" w:ascii="仿宋" w:hAnsi="仿宋" w:eastAsia="仿宋" w:cs="仿宋"/>
          <w:color w:val="auto"/>
          <w:sz w:val="32"/>
          <w:szCs w:val="32"/>
          <w:highlight w:val="none"/>
          <w:u w:val="none"/>
          <w:lang w:val="en-US" w:eastAsia="zh-CN"/>
        </w:rPr>
        <w:t>万元、</w:t>
      </w:r>
      <w:r>
        <w:rPr>
          <w:rFonts w:hint="eastAsia" w:ascii="仿宋" w:hAnsi="仿宋" w:eastAsia="仿宋" w:cs="仿宋"/>
          <w:color w:val="auto"/>
          <w:sz w:val="32"/>
          <w:szCs w:val="32"/>
          <w:highlight w:val="none"/>
          <w:u w:val="none"/>
        </w:rPr>
        <w:t>电费6</w:t>
      </w:r>
      <w:r>
        <w:rPr>
          <w:rFonts w:hint="eastAsia" w:ascii="仿宋" w:hAnsi="仿宋" w:eastAsia="仿宋" w:cs="仿宋"/>
          <w:color w:val="auto"/>
          <w:sz w:val="32"/>
          <w:szCs w:val="32"/>
          <w:highlight w:val="none"/>
          <w:u w:val="none"/>
          <w:lang w:val="en-US" w:eastAsia="zh-CN"/>
        </w:rPr>
        <w:t>万元、</w:t>
      </w:r>
      <w:r>
        <w:rPr>
          <w:rFonts w:hint="eastAsia" w:ascii="仿宋" w:hAnsi="仿宋" w:eastAsia="仿宋" w:cs="仿宋"/>
          <w:color w:val="auto"/>
          <w:sz w:val="32"/>
          <w:szCs w:val="32"/>
          <w:highlight w:val="none"/>
          <w:u w:val="none"/>
        </w:rPr>
        <w:t>取暖费13.03</w:t>
      </w:r>
      <w:r>
        <w:rPr>
          <w:rFonts w:hint="eastAsia" w:ascii="仿宋" w:hAnsi="仿宋" w:eastAsia="仿宋" w:cs="仿宋"/>
          <w:color w:val="auto"/>
          <w:sz w:val="32"/>
          <w:szCs w:val="32"/>
          <w:highlight w:val="none"/>
          <w:u w:val="none"/>
          <w:lang w:val="en-US" w:eastAsia="zh-CN"/>
        </w:rPr>
        <w:t>万元、</w:t>
      </w:r>
      <w:r>
        <w:rPr>
          <w:rFonts w:hint="eastAsia" w:ascii="仿宋" w:hAnsi="仿宋" w:eastAsia="仿宋" w:cs="仿宋"/>
          <w:color w:val="auto"/>
          <w:sz w:val="32"/>
          <w:szCs w:val="32"/>
          <w:highlight w:val="none"/>
          <w:u w:val="none"/>
        </w:rPr>
        <w:t>物业管理费8</w:t>
      </w:r>
      <w:r>
        <w:rPr>
          <w:rFonts w:hint="eastAsia" w:ascii="仿宋" w:hAnsi="仿宋" w:eastAsia="仿宋" w:cs="仿宋"/>
          <w:color w:val="auto"/>
          <w:sz w:val="32"/>
          <w:szCs w:val="32"/>
          <w:highlight w:val="none"/>
          <w:u w:val="none"/>
          <w:lang w:val="en-US" w:eastAsia="zh-CN"/>
        </w:rPr>
        <w:t>万元、</w:t>
      </w:r>
      <w:r>
        <w:rPr>
          <w:rFonts w:hint="eastAsia" w:ascii="仿宋" w:hAnsi="仿宋" w:eastAsia="仿宋" w:cs="仿宋"/>
          <w:color w:val="auto"/>
          <w:sz w:val="32"/>
          <w:szCs w:val="32"/>
          <w:highlight w:val="none"/>
          <w:u w:val="none"/>
        </w:rPr>
        <w:t>维修（护）费7</w:t>
      </w:r>
      <w:r>
        <w:rPr>
          <w:rFonts w:hint="eastAsia" w:ascii="仿宋" w:hAnsi="仿宋" w:eastAsia="仿宋" w:cs="仿宋"/>
          <w:color w:val="auto"/>
          <w:sz w:val="32"/>
          <w:szCs w:val="32"/>
          <w:highlight w:val="none"/>
          <w:u w:val="none"/>
          <w:lang w:val="en-US" w:eastAsia="zh-CN"/>
        </w:rPr>
        <w:t>万元、</w:t>
      </w:r>
      <w:r>
        <w:rPr>
          <w:rFonts w:hint="eastAsia" w:ascii="仿宋" w:hAnsi="仿宋" w:eastAsia="仿宋" w:cs="仿宋"/>
          <w:color w:val="auto"/>
          <w:sz w:val="32"/>
          <w:szCs w:val="32"/>
          <w:highlight w:val="none"/>
          <w:u w:val="none"/>
        </w:rPr>
        <w:t>培训费0.5</w:t>
      </w:r>
      <w:r>
        <w:rPr>
          <w:rFonts w:hint="eastAsia" w:ascii="仿宋" w:hAnsi="仿宋" w:eastAsia="仿宋" w:cs="仿宋"/>
          <w:color w:val="auto"/>
          <w:sz w:val="32"/>
          <w:szCs w:val="32"/>
          <w:highlight w:val="none"/>
          <w:u w:val="none"/>
          <w:lang w:val="en-US" w:eastAsia="zh-CN"/>
        </w:rPr>
        <w:t>万元、</w:t>
      </w:r>
      <w:r>
        <w:rPr>
          <w:rFonts w:hint="eastAsia" w:ascii="仿宋" w:hAnsi="仿宋" w:eastAsia="仿宋" w:cs="仿宋"/>
          <w:color w:val="auto"/>
          <w:sz w:val="32"/>
          <w:szCs w:val="32"/>
          <w:highlight w:val="none"/>
          <w:u w:val="none"/>
        </w:rPr>
        <w:t>公务接待费0.2</w:t>
      </w:r>
      <w:r>
        <w:rPr>
          <w:rFonts w:hint="eastAsia" w:ascii="仿宋" w:hAnsi="仿宋" w:eastAsia="仿宋" w:cs="仿宋"/>
          <w:color w:val="auto"/>
          <w:sz w:val="32"/>
          <w:szCs w:val="32"/>
          <w:highlight w:val="none"/>
          <w:u w:val="none"/>
          <w:lang w:val="en-US" w:eastAsia="zh-CN"/>
        </w:rPr>
        <w:t>万元、</w:t>
      </w:r>
      <w:r>
        <w:rPr>
          <w:rFonts w:hint="eastAsia" w:ascii="仿宋" w:hAnsi="仿宋" w:eastAsia="仿宋" w:cs="仿宋"/>
          <w:color w:val="auto"/>
          <w:sz w:val="32"/>
          <w:szCs w:val="32"/>
          <w:highlight w:val="none"/>
          <w:u w:val="none"/>
        </w:rPr>
        <w:t>工会经费9.3</w:t>
      </w:r>
      <w:r>
        <w:rPr>
          <w:rFonts w:hint="eastAsia" w:ascii="仿宋" w:hAnsi="仿宋" w:eastAsia="仿宋" w:cs="仿宋"/>
          <w:color w:val="auto"/>
          <w:sz w:val="32"/>
          <w:szCs w:val="32"/>
          <w:highlight w:val="none"/>
          <w:u w:val="none"/>
          <w:lang w:val="en-US" w:eastAsia="zh-CN"/>
        </w:rPr>
        <w:t>7万元、</w:t>
      </w:r>
      <w:r>
        <w:rPr>
          <w:rFonts w:hint="eastAsia" w:ascii="仿宋" w:hAnsi="仿宋" w:eastAsia="仿宋" w:cs="仿宋"/>
          <w:color w:val="auto"/>
          <w:sz w:val="32"/>
          <w:szCs w:val="32"/>
          <w:highlight w:val="none"/>
          <w:u w:val="none"/>
        </w:rPr>
        <w:t>其他交通费用26.64</w:t>
      </w:r>
      <w:r>
        <w:rPr>
          <w:rFonts w:hint="eastAsia" w:ascii="仿宋" w:hAnsi="仿宋" w:eastAsia="仿宋" w:cs="仿宋"/>
          <w:color w:val="auto"/>
          <w:sz w:val="32"/>
          <w:szCs w:val="32"/>
          <w:highlight w:val="none"/>
          <w:u w:val="none"/>
          <w:lang w:val="en-US" w:eastAsia="zh-CN"/>
        </w:rPr>
        <w:t>万元、</w:t>
      </w:r>
      <w:r>
        <w:rPr>
          <w:rFonts w:hint="eastAsia" w:ascii="仿宋" w:hAnsi="仿宋" w:eastAsia="仿宋" w:cs="仿宋"/>
          <w:color w:val="auto"/>
          <w:sz w:val="32"/>
          <w:szCs w:val="32"/>
          <w:highlight w:val="none"/>
          <w:u w:val="none"/>
        </w:rPr>
        <w:t>其他商品和服务支出3.09</w:t>
      </w:r>
      <w:r>
        <w:rPr>
          <w:rFonts w:hint="eastAsia" w:ascii="仿宋" w:hAnsi="仿宋" w:eastAsia="仿宋" w:cs="仿宋"/>
          <w:color w:val="auto"/>
          <w:sz w:val="32"/>
          <w:szCs w:val="32"/>
          <w:highlight w:val="none"/>
          <w:u w:val="none"/>
          <w:lang w:val="en-US" w:eastAsia="zh-CN"/>
        </w:rPr>
        <w:t>万元、</w:t>
      </w:r>
      <w:r>
        <w:rPr>
          <w:rFonts w:hint="eastAsia" w:ascii="仿宋" w:hAnsi="仿宋" w:eastAsia="仿宋" w:cs="仿宋"/>
          <w:color w:val="auto"/>
          <w:sz w:val="32"/>
          <w:szCs w:val="32"/>
          <w:highlight w:val="none"/>
          <w:u w:val="none"/>
        </w:rPr>
        <w:t>其他对个人和家庭的补助10</w:t>
      </w:r>
      <w:r>
        <w:rPr>
          <w:rFonts w:hint="eastAsia" w:ascii="仿宋" w:hAnsi="仿宋" w:eastAsia="仿宋" w:cs="仿宋"/>
          <w:color w:val="auto"/>
          <w:sz w:val="32"/>
          <w:szCs w:val="32"/>
          <w:highlight w:val="none"/>
          <w:u w:val="none"/>
          <w:lang w:val="en-US" w:eastAsia="zh-CN"/>
        </w:rPr>
        <w:t>万元。</w:t>
      </w:r>
    </w:p>
    <w:p w14:paraId="636B533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eastAsia="黑体" w:cs="黑体"/>
          <w:b/>
          <w:bCs/>
          <w:color w:val="auto"/>
          <w:sz w:val="32"/>
          <w:szCs w:val="36"/>
          <w:highlight w:val="none"/>
          <w:u w:val="none"/>
        </w:rPr>
      </w:pPr>
      <w:r>
        <w:rPr>
          <w:rFonts w:hint="eastAsia" w:eastAsia="黑体" w:cs="黑体"/>
          <w:b/>
          <w:bCs/>
          <w:color w:val="auto"/>
          <w:sz w:val="32"/>
          <w:szCs w:val="36"/>
          <w:highlight w:val="none"/>
          <w:u w:val="none"/>
        </w:rPr>
        <w:t>七、一般公共预算“三公”经费支出预算情况说明</w:t>
      </w:r>
    </w:p>
    <w:p w14:paraId="5C4A1C93">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和林格尔县人民检察院</w:t>
      </w:r>
      <w:r>
        <w:rPr>
          <w:rFonts w:hint="eastAsia" w:ascii="仿宋" w:hAnsi="仿宋" w:eastAsia="仿宋" w:cs="仿宋"/>
          <w:color w:val="auto"/>
          <w:sz w:val="32"/>
          <w:szCs w:val="32"/>
          <w:highlight w:val="none"/>
          <w:u w:val="none"/>
          <w:lang w:val="en-US" w:eastAsia="zh-CN"/>
        </w:rPr>
        <w:t>2026</w:t>
      </w:r>
      <w:r>
        <w:rPr>
          <w:rFonts w:hint="eastAsia" w:ascii="仿宋" w:hAnsi="仿宋" w:eastAsia="仿宋" w:cs="仿宋"/>
          <w:color w:val="auto"/>
          <w:sz w:val="32"/>
          <w:szCs w:val="32"/>
          <w:highlight w:val="none"/>
          <w:u w:val="none"/>
        </w:rPr>
        <w:t>年度一般公共预算拨款安排的“三公”经费预算支出</w:t>
      </w:r>
      <w:r>
        <w:rPr>
          <w:rFonts w:hint="eastAsia" w:ascii="仿宋" w:hAnsi="仿宋" w:eastAsia="仿宋" w:cs="仿宋"/>
          <w:color w:val="auto"/>
          <w:sz w:val="32"/>
          <w:szCs w:val="32"/>
          <w:highlight w:val="none"/>
          <w:u w:val="none"/>
          <w:lang w:val="en-US" w:eastAsia="zh-CN"/>
        </w:rPr>
        <w:t>23.2</w:t>
      </w:r>
      <w:r>
        <w:rPr>
          <w:rFonts w:hint="eastAsia" w:ascii="仿宋" w:hAnsi="仿宋" w:eastAsia="仿宋" w:cs="仿宋"/>
          <w:color w:val="auto"/>
          <w:sz w:val="32"/>
          <w:szCs w:val="32"/>
          <w:highlight w:val="none"/>
          <w:u w:val="none"/>
        </w:rPr>
        <w:t>万元，其中因公出国（境）费支出</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万元，占“三公”经费的</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%；公务用车购置及运行维护费支出</w:t>
      </w:r>
      <w:r>
        <w:rPr>
          <w:rFonts w:hint="eastAsia" w:ascii="仿宋" w:hAnsi="仿宋" w:eastAsia="仿宋" w:cs="仿宋"/>
          <w:color w:val="auto"/>
          <w:sz w:val="32"/>
          <w:szCs w:val="32"/>
          <w:highlight w:val="none"/>
          <w:u w:val="none"/>
          <w:lang w:val="en-US" w:eastAsia="zh-CN"/>
        </w:rPr>
        <w:t>23</w:t>
      </w:r>
      <w:r>
        <w:rPr>
          <w:rFonts w:hint="eastAsia" w:ascii="仿宋" w:hAnsi="仿宋" w:eastAsia="仿宋" w:cs="仿宋"/>
          <w:color w:val="auto"/>
          <w:sz w:val="32"/>
          <w:szCs w:val="32"/>
          <w:highlight w:val="none"/>
          <w:u w:val="none"/>
        </w:rPr>
        <w:t>万元，占“三公”经费的</w:t>
      </w:r>
      <w:r>
        <w:rPr>
          <w:rFonts w:hint="eastAsia" w:ascii="仿宋" w:hAnsi="仿宋" w:eastAsia="仿宋" w:cs="仿宋"/>
          <w:color w:val="auto"/>
          <w:sz w:val="32"/>
          <w:szCs w:val="32"/>
          <w:highlight w:val="none"/>
          <w:u w:val="none"/>
          <w:lang w:val="en-US" w:eastAsia="zh-CN"/>
        </w:rPr>
        <w:t>99.14</w:t>
      </w:r>
      <w:r>
        <w:rPr>
          <w:rFonts w:hint="eastAsia" w:ascii="仿宋" w:hAnsi="仿宋" w:eastAsia="仿宋" w:cs="仿宋"/>
          <w:color w:val="auto"/>
          <w:sz w:val="32"/>
          <w:szCs w:val="32"/>
          <w:highlight w:val="none"/>
          <w:u w:val="none"/>
        </w:rPr>
        <w:t>%；公务接待费支出</w:t>
      </w:r>
      <w:r>
        <w:rPr>
          <w:rFonts w:hint="eastAsia" w:ascii="仿宋" w:hAnsi="仿宋" w:eastAsia="仿宋" w:cs="仿宋"/>
          <w:color w:val="auto"/>
          <w:sz w:val="32"/>
          <w:szCs w:val="32"/>
          <w:highlight w:val="none"/>
          <w:u w:val="none"/>
          <w:lang w:val="en-US" w:eastAsia="zh-CN"/>
        </w:rPr>
        <w:t>0.2</w:t>
      </w:r>
      <w:r>
        <w:rPr>
          <w:rFonts w:hint="eastAsia" w:ascii="仿宋" w:hAnsi="仿宋" w:eastAsia="仿宋" w:cs="仿宋"/>
          <w:color w:val="auto"/>
          <w:sz w:val="32"/>
          <w:szCs w:val="32"/>
          <w:highlight w:val="none"/>
          <w:u w:val="none"/>
        </w:rPr>
        <w:t>万元，占“三公”经费的</w:t>
      </w:r>
      <w:r>
        <w:rPr>
          <w:rFonts w:hint="eastAsia" w:ascii="仿宋" w:hAnsi="仿宋" w:eastAsia="仿宋" w:cs="仿宋"/>
          <w:color w:val="auto"/>
          <w:sz w:val="32"/>
          <w:szCs w:val="32"/>
          <w:highlight w:val="none"/>
          <w:u w:val="none"/>
          <w:lang w:val="en-US" w:eastAsia="zh-CN"/>
        </w:rPr>
        <w:t>0.86</w:t>
      </w:r>
      <w:r>
        <w:rPr>
          <w:rFonts w:hint="eastAsia" w:ascii="仿宋" w:hAnsi="仿宋" w:eastAsia="仿宋" w:cs="仿宋"/>
          <w:color w:val="auto"/>
          <w:sz w:val="32"/>
          <w:szCs w:val="32"/>
          <w:highlight w:val="none"/>
          <w:u w:val="none"/>
        </w:rPr>
        <w:t>%。具体情况如下：</w:t>
      </w:r>
    </w:p>
    <w:p w14:paraId="1C9A8DB2">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textAlignment w:val="auto"/>
        <w:rPr>
          <w:rFonts w:hint="eastAsia" w:ascii="仿宋" w:hAnsi="仿宋" w:eastAsia="仿宋" w:cs="仿宋"/>
          <w:color w:val="auto"/>
          <w:spacing w:val="-6"/>
          <w:sz w:val="32"/>
          <w:szCs w:val="32"/>
          <w:highlight w:val="none"/>
          <w:u w:val="none"/>
        </w:rPr>
      </w:pPr>
      <w:r>
        <w:rPr>
          <w:rFonts w:hint="eastAsia" w:ascii="仿宋" w:hAnsi="仿宋" w:eastAsia="仿宋" w:cs="仿宋"/>
          <w:color w:val="auto"/>
          <w:sz w:val="32"/>
          <w:szCs w:val="32"/>
          <w:highlight w:val="none"/>
          <w:u w:val="none"/>
        </w:rPr>
        <w:t>一般公共预算拨款安排的“三公”经费预算支出</w:t>
      </w:r>
      <w:r>
        <w:rPr>
          <w:rFonts w:hint="eastAsia" w:ascii="仿宋" w:hAnsi="仿宋" w:eastAsia="仿宋" w:cs="仿宋"/>
          <w:color w:val="auto"/>
          <w:sz w:val="32"/>
          <w:szCs w:val="32"/>
          <w:highlight w:val="none"/>
          <w:u w:val="none"/>
          <w:lang w:val="en-US" w:eastAsia="zh-CN"/>
        </w:rPr>
        <w:t>23.2</w:t>
      </w:r>
      <w:r>
        <w:rPr>
          <w:rFonts w:hint="eastAsia" w:ascii="仿宋" w:hAnsi="仿宋" w:eastAsia="仿宋" w:cs="仿宋"/>
          <w:color w:val="auto"/>
          <w:spacing w:val="-4"/>
          <w:sz w:val="32"/>
          <w:szCs w:val="32"/>
          <w:highlight w:val="none"/>
          <w:u w:val="none"/>
        </w:rPr>
        <w:t>万元，比上年预</w:t>
      </w:r>
      <w:r>
        <w:rPr>
          <w:rFonts w:hint="eastAsia" w:ascii="仿宋" w:hAnsi="仿宋" w:eastAsia="仿宋" w:cs="仿宋"/>
          <w:color w:val="auto"/>
          <w:spacing w:val="-6"/>
          <w:sz w:val="32"/>
          <w:szCs w:val="32"/>
          <w:highlight w:val="none"/>
          <w:u w:val="none"/>
        </w:rPr>
        <w:t>算增加</w:t>
      </w:r>
      <w:r>
        <w:rPr>
          <w:rFonts w:hint="eastAsia" w:ascii="仿宋" w:hAnsi="仿宋" w:eastAsia="仿宋" w:cs="仿宋"/>
          <w:color w:val="auto"/>
          <w:spacing w:val="-6"/>
          <w:sz w:val="32"/>
          <w:szCs w:val="32"/>
          <w:highlight w:val="none"/>
          <w:u w:val="none"/>
          <w:lang w:val="en-US" w:eastAsia="zh-CN"/>
        </w:rPr>
        <w:t>0</w:t>
      </w:r>
      <w:r>
        <w:rPr>
          <w:rFonts w:hint="eastAsia" w:ascii="仿宋" w:hAnsi="仿宋" w:eastAsia="仿宋" w:cs="仿宋"/>
          <w:color w:val="auto"/>
          <w:spacing w:val="-6"/>
          <w:sz w:val="32"/>
          <w:szCs w:val="32"/>
          <w:highlight w:val="none"/>
          <w:u w:val="none"/>
        </w:rPr>
        <w:t>万元，</w:t>
      </w:r>
      <w:r>
        <w:rPr>
          <w:rFonts w:hint="eastAsia" w:ascii="仿宋" w:hAnsi="仿宋" w:eastAsia="仿宋" w:cs="仿宋"/>
          <w:color w:val="auto"/>
          <w:sz w:val="32"/>
          <w:szCs w:val="32"/>
          <w:highlight w:val="none"/>
          <w:u w:val="none"/>
        </w:rPr>
        <w:t>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r>
        <w:rPr>
          <w:rFonts w:hint="eastAsia" w:ascii="仿宋" w:hAnsi="仿宋" w:eastAsia="仿宋" w:cs="仿宋"/>
          <w:color w:val="auto"/>
          <w:spacing w:val="-6"/>
          <w:sz w:val="32"/>
          <w:szCs w:val="32"/>
          <w:highlight w:val="none"/>
          <w:u w:val="none"/>
        </w:rPr>
        <w:t>；</w:t>
      </w:r>
    </w:p>
    <w:p w14:paraId="586EA766">
      <w:pPr>
        <w:keepNext w:val="0"/>
        <w:keepLines w:val="0"/>
        <w:pageBreakBefore w:val="0"/>
        <w:widowControl w:val="0"/>
        <w:kinsoku/>
        <w:wordWrap/>
        <w:overflowPunct/>
        <w:topLinePunct w:val="0"/>
        <w:autoSpaceDE/>
        <w:autoSpaceDN/>
        <w:bidi w:val="0"/>
        <w:adjustRightInd/>
        <w:snapToGrid/>
        <w:spacing w:line="360" w:lineRule="auto"/>
        <w:ind w:left="0" w:leftChars="0" w:right="0" w:firstLine="624"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pacing w:val="-4"/>
          <w:sz w:val="32"/>
          <w:szCs w:val="32"/>
          <w:highlight w:val="none"/>
          <w:u w:val="none"/>
        </w:rPr>
        <w:t>其中：</w:t>
      </w:r>
    </w:p>
    <w:p w14:paraId="4A3AA15E">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1．因公出国（境）费预算支出</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万元，比上年预算增加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主要原因</w:t>
      </w:r>
      <w:r>
        <w:rPr>
          <w:rFonts w:hint="eastAsia" w:ascii="仿宋" w:hAnsi="仿宋" w:eastAsia="仿宋" w:cs="仿宋"/>
          <w:b w:val="0"/>
          <w:bCs w:val="0"/>
          <w:color w:val="auto"/>
          <w:sz w:val="32"/>
          <w:szCs w:val="32"/>
          <w:highlight w:val="none"/>
          <w:u w:val="none"/>
          <w:lang w:val="en-US" w:eastAsia="zh-CN"/>
        </w:rPr>
        <w:t>不涉及此项内容</w:t>
      </w:r>
      <w:r>
        <w:rPr>
          <w:rFonts w:hint="eastAsia" w:ascii="仿宋" w:hAnsi="仿宋" w:eastAsia="仿宋" w:cs="仿宋"/>
          <w:color w:val="auto"/>
          <w:sz w:val="32"/>
          <w:szCs w:val="32"/>
          <w:highlight w:val="none"/>
          <w:u w:val="none"/>
        </w:rPr>
        <w:t>。</w:t>
      </w:r>
    </w:p>
    <w:p w14:paraId="5C8E55C9">
      <w:pPr>
        <w:pStyle w:val="6"/>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2．公务用车购置及运行维护费预算支出</w:t>
      </w:r>
      <w:r>
        <w:rPr>
          <w:rFonts w:hint="eastAsia" w:ascii="仿宋" w:hAnsi="仿宋" w:eastAsia="仿宋" w:cs="仿宋"/>
          <w:color w:val="auto"/>
          <w:sz w:val="32"/>
          <w:szCs w:val="32"/>
          <w:highlight w:val="none"/>
          <w:u w:val="none"/>
          <w:lang w:val="en-US" w:eastAsia="zh-CN"/>
        </w:rPr>
        <w:t>23</w:t>
      </w:r>
      <w:r>
        <w:rPr>
          <w:rFonts w:hint="eastAsia" w:ascii="仿宋" w:hAnsi="仿宋" w:eastAsia="仿宋" w:cs="仿宋"/>
          <w:color w:val="auto"/>
          <w:sz w:val="32"/>
          <w:szCs w:val="32"/>
          <w:highlight w:val="none"/>
          <w:u w:val="none"/>
        </w:rPr>
        <w:t>万元。其中：</w:t>
      </w:r>
    </w:p>
    <w:p w14:paraId="78FBE2C3">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（1）公务用车购置预算支出</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万元，比上年预算增加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主要原因</w:t>
      </w:r>
      <w:r>
        <w:rPr>
          <w:rFonts w:hint="eastAsia" w:ascii="仿宋" w:hAnsi="仿宋" w:eastAsia="仿宋" w:cs="仿宋"/>
          <w:b w:val="0"/>
          <w:bCs w:val="0"/>
          <w:color w:val="auto"/>
          <w:sz w:val="32"/>
          <w:szCs w:val="32"/>
          <w:highlight w:val="none"/>
          <w:u w:val="none"/>
          <w:lang w:val="en-US" w:eastAsia="zh-CN"/>
        </w:rPr>
        <w:t>不涉及此项内容</w:t>
      </w:r>
      <w:r>
        <w:rPr>
          <w:rFonts w:hint="eastAsia" w:ascii="仿宋" w:hAnsi="仿宋" w:eastAsia="仿宋" w:cs="仿宋"/>
          <w:color w:val="auto"/>
          <w:sz w:val="32"/>
          <w:szCs w:val="32"/>
          <w:highlight w:val="none"/>
          <w:u w:val="none"/>
        </w:rPr>
        <w:t>。</w:t>
      </w:r>
    </w:p>
    <w:p w14:paraId="2F201BF6">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（2）公务用车运行维护费预算支出</w:t>
      </w:r>
      <w:r>
        <w:rPr>
          <w:rFonts w:hint="eastAsia" w:ascii="仿宋" w:hAnsi="仿宋" w:eastAsia="仿宋" w:cs="仿宋"/>
          <w:color w:val="auto"/>
          <w:sz w:val="32"/>
          <w:szCs w:val="32"/>
          <w:highlight w:val="none"/>
          <w:u w:val="none"/>
          <w:lang w:val="en-US" w:eastAsia="zh-CN"/>
        </w:rPr>
        <w:t>23</w:t>
      </w:r>
      <w:r>
        <w:rPr>
          <w:rFonts w:hint="eastAsia" w:ascii="仿宋" w:hAnsi="仿宋" w:eastAsia="仿宋" w:cs="仿宋"/>
          <w:color w:val="auto"/>
          <w:sz w:val="32"/>
          <w:szCs w:val="32"/>
          <w:highlight w:val="none"/>
          <w:u w:val="none"/>
        </w:rPr>
        <w:t>万元，比上年预算增加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无变化</w:t>
      </w:r>
      <w:r>
        <w:rPr>
          <w:rFonts w:hint="eastAsia" w:ascii="仿宋" w:hAnsi="仿宋" w:eastAsia="仿宋" w:cs="仿宋"/>
          <w:color w:val="auto"/>
          <w:sz w:val="32"/>
          <w:szCs w:val="32"/>
          <w:highlight w:val="none"/>
          <w:u w:val="none"/>
        </w:rPr>
        <w:t>。</w:t>
      </w:r>
    </w:p>
    <w:p w14:paraId="3AC6060B">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3．公务接待费预算支出</w:t>
      </w:r>
      <w:r>
        <w:rPr>
          <w:rFonts w:hint="eastAsia" w:ascii="仿宋" w:hAnsi="仿宋" w:eastAsia="仿宋" w:cs="仿宋"/>
          <w:color w:val="auto"/>
          <w:sz w:val="32"/>
          <w:szCs w:val="32"/>
          <w:highlight w:val="none"/>
          <w:u w:val="none"/>
          <w:lang w:val="en-US" w:eastAsia="zh-CN"/>
        </w:rPr>
        <w:t>0.2</w:t>
      </w:r>
      <w:r>
        <w:rPr>
          <w:rFonts w:hint="eastAsia" w:ascii="仿宋" w:hAnsi="仿宋" w:eastAsia="仿宋" w:cs="仿宋"/>
          <w:color w:val="auto"/>
          <w:sz w:val="32"/>
          <w:szCs w:val="32"/>
          <w:highlight w:val="none"/>
          <w:u w:val="none"/>
        </w:rPr>
        <w:t>万元，比上年预算增加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无变化</w:t>
      </w:r>
      <w:r>
        <w:rPr>
          <w:rFonts w:hint="eastAsia" w:ascii="仿宋" w:hAnsi="仿宋" w:eastAsia="仿宋" w:cs="仿宋"/>
          <w:color w:val="auto"/>
          <w:sz w:val="32"/>
          <w:szCs w:val="32"/>
          <w:highlight w:val="none"/>
          <w:u w:val="none"/>
        </w:rPr>
        <w:t>。</w:t>
      </w:r>
    </w:p>
    <w:p w14:paraId="581B41C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eastAsia="黑体" w:cs="黑体"/>
          <w:b/>
          <w:bCs/>
          <w:color w:val="auto"/>
          <w:sz w:val="32"/>
          <w:szCs w:val="36"/>
          <w:highlight w:val="none"/>
          <w:u w:val="none"/>
        </w:rPr>
      </w:pPr>
      <w:r>
        <w:rPr>
          <w:rFonts w:hint="eastAsia" w:eastAsia="黑体" w:cs="黑体"/>
          <w:b/>
          <w:bCs/>
          <w:color w:val="auto"/>
          <w:sz w:val="32"/>
          <w:szCs w:val="36"/>
          <w:highlight w:val="none"/>
          <w:u w:val="none"/>
        </w:rPr>
        <w:t>八、政府性基金预算支出预算情况说明</w:t>
      </w:r>
    </w:p>
    <w:p w14:paraId="0C1E0ADF">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和林格尔县人民检察院单位</w:t>
      </w:r>
      <w:r>
        <w:rPr>
          <w:rFonts w:hint="eastAsia" w:ascii="仿宋" w:hAnsi="仿宋" w:eastAsia="仿宋" w:cs="仿宋"/>
          <w:color w:val="auto"/>
          <w:sz w:val="32"/>
          <w:szCs w:val="32"/>
          <w:highlight w:val="none"/>
          <w:u w:val="none"/>
          <w:lang w:val="en-US" w:eastAsia="zh-CN"/>
        </w:rPr>
        <w:t>2026</w:t>
      </w:r>
      <w:r>
        <w:rPr>
          <w:rFonts w:hint="eastAsia" w:ascii="仿宋" w:hAnsi="仿宋" w:eastAsia="仿宋" w:cs="仿宋"/>
          <w:color w:val="auto"/>
          <w:sz w:val="32"/>
          <w:szCs w:val="32"/>
          <w:highlight w:val="none"/>
          <w:u w:val="none"/>
        </w:rPr>
        <w:t>年政府性基金支出预算支出</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万元。与上年相比增加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%。主要原因是</w:t>
      </w:r>
      <w:r>
        <w:rPr>
          <w:rFonts w:hint="eastAsia" w:ascii="仿宋" w:hAnsi="仿宋" w:eastAsia="仿宋" w:cs="仿宋"/>
          <w:color w:val="auto"/>
          <w:sz w:val="32"/>
          <w:szCs w:val="32"/>
          <w:highlight w:val="none"/>
          <w:u w:val="none"/>
          <w:lang w:val="en-US" w:eastAsia="zh-CN"/>
        </w:rPr>
        <w:t>本年无政府性基金预算支出</w:t>
      </w:r>
      <w:r>
        <w:rPr>
          <w:rFonts w:hint="eastAsia" w:ascii="仿宋" w:hAnsi="仿宋" w:eastAsia="仿宋" w:cs="仿宋"/>
          <w:color w:val="auto"/>
          <w:sz w:val="32"/>
          <w:szCs w:val="32"/>
          <w:highlight w:val="none"/>
          <w:u w:val="none"/>
        </w:rPr>
        <w:t>。</w:t>
      </w:r>
    </w:p>
    <w:p w14:paraId="6EA95D4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eastAsia="黑体" w:cs="黑体"/>
          <w:b/>
          <w:bCs/>
          <w:color w:val="auto"/>
          <w:sz w:val="32"/>
          <w:szCs w:val="36"/>
          <w:highlight w:val="none"/>
          <w:u w:val="none"/>
        </w:rPr>
      </w:pPr>
      <w:r>
        <w:rPr>
          <w:rFonts w:hint="eastAsia" w:eastAsia="黑体" w:cs="黑体"/>
          <w:b/>
          <w:bCs/>
          <w:color w:val="auto"/>
          <w:sz w:val="32"/>
          <w:szCs w:val="36"/>
          <w:highlight w:val="none"/>
          <w:u w:val="none"/>
        </w:rPr>
        <w:t>九、国有资本经营预算支出预算情况说明</w:t>
      </w:r>
    </w:p>
    <w:p w14:paraId="61DF02E6">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和林格尔县人民检察院单位</w:t>
      </w:r>
      <w:r>
        <w:rPr>
          <w:rFonts w:hint="eastAsia" w:ascii="仿宋" w:hAnsi="仿宋" w:eastAsia="仿宋" w:cs="仿宋"/>
          <w:color w:val="auto"/>
          <w:sz w:val="32"/>
          <w:szCs w:val="32"/>
          <w:highlight w:val="none"/>
          <w:u w:val="none"/>
          <w:lang w:val="en-US" w:eastAsia="zh-CN"/>
        </w:rPr>
        <w:t>2026</w:t>
      </w:r>
      <w:r>
        <w:rPr>
          <w:rFonts w:hint="eastAsia" w:ascii="仿宋" w:hAnsi="仿宋" w:eastAsia="仿宋" w:cs="仿宋"/>
          <w:color w:val="auto"/>
          <w:sz w:val="32"/>
          <w:szCs w:val="32"/>
          <w:highlight w:val="none"/>
          <w:u w:val="none"/>
        </w:rPr>
        <w:t>年国有资本经营预算支出</w:t>
      </w:r>
      <w:r>
        <w:rPr>
          <w:rFonts w:hint="eastAsia" w:ascii="仿宋" w:hAnsi="仿宋" w:eastAsia="仿宋" w:cs="仿宋"/>
          <w:color w:val="auto"/>
          <w:sz w:val="32"/>
          <w:szCs w:val="32"/>
          <w:highlight w:val="none"/>
          <w:u w:val="none"/>
        </w:rPr>
        <w:tab/>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万元。与上年相比增加</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万元，增长</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%。主要原因是</w:t>
      </w:r>
      <w:r>
        <w:rPr>
          <w:rFonts w:hint="eastAsia" w:ascii="仿宋" w:hAnsi="仿宋" w:eastAsia="仿宋" w:cs="仿宋"/>
          <w:color w:val="auto"/>
          <w:sz w:val="32"/>
          <w:szCs w:val="32"/>
          <w:highlight w:val="none"/>
          <w:u w:val="none"/>
          <w:lang w:val="en-US" w:eastAsia="zh-CN"/>
        </w:rPr>
        <w:t>本部门无国有资本经营预算支出</w:t>
      </w:r>
      <w:r>
        <w:rPr>
          <w:rFonts w:hint="eastAsia" w:ascii="仿宋" w:hAnsi="仿宋" w:eastAsia="仿宋" w:cs="仿宋"/>
          <w:color w:val="auto"/>
          <w:sz w:val="32"/>
          <w:szCs w:val="32"/>
          <w:highlight w:val="none"/>
          <w:u w:val="none"/>
        </w:rPr>
        <w:t>。</w:t>
      </w:r>
    </w:p>
    <w:p w14:paraId="3ECA0A4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eastAsia="黑体" w:cs="黑体"/>
          <w:b/>
          <w:bCs/>
          <w:color w:val="auto"/>
          <w:sz w:val="32"/>
          <w:szCs w:val="36"/>
          <w:highlight w:val="none"/>
          <w:u w:val="none"/>
        </w:rPr>
      </w:pPr>
      <w:r>
        <w:rPr>
          <w:rFonts w:hint="eastAsia" w:eastAsia="黑体" w:cs="黑体"/>
          <w:b/>
          <w:bCs/>
          <w:color w:val="auto"/>
          <w:sz w:val="32"/>
          <w:szCs w:val="36"/>
          <w:highlight w:val="none"/>
          <w:u w:val="none"/>
          <w:lang w:eastAsia="zh-CN"/>
        </w:rPr>
        <w:t>十、</w:t>
      </w:r>
      <w:r>
        <w:rPr>
          <w:rFonts w:hint="eastAsia" w:eastAsia="黑体" w:cs="黑体"/>
          <w:b/>
          <w:bCs/>
          <w:color w:val="auto"/>
          <w:sz w:val="32"/>
          <w:szCs w:val="36"/>
          <w:highlight w:val="none"/>
          <w:u w:val="none"/>
        </w:rPr>
        <w:t>项目支出预算情况说明</w:t>
      </w:r>
    </w:p>
    <w:p w14:paraId="6847B22B">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2026</w:t>
      </w:r>
      <w:r>
        <w:rPr>
          <w:rFonts w:hint="eastAsia" w:ascii="仿宋" w:hAnsi="仿宋" w:eastAsia="仿宋" w:cs="仿宋"/>
          <w:color w:val="auto"/>
          <w:sz w:val="32"/>
          <w:szCs w:val="32"/>
          <w:highlight w:val="none"/>
          <w:u w:val="none"/>
        </w:rPr>
        <w:t>年单位预算安排项目</w:t>
      </w:r>
      <w:r>
        <w:rPr>
          <w:rFonts w:hint="eastAsia" w:ascii="仿宋" w:hAnsi="仿宋" w:eastAsia="仿宋" w:cs="仿宋"/>
          <w:color w:val="auto"/>
          <w:sz w:val="32"/>
          <w:szCs w:val="32"/>
          <w:highlight w:val="none"/>
          <w:u w:val="none"/>
          <w:lang w:val="en-US" w:eastAsia="zh-CN"/>
        </w:rPr>
        <w:t>2</w:t>
      </w:r>
      <w:r>
        <w:rPr>
          <w:rFonts w:hint="eastAsia" w:ascii="仿宋" w:hAnsi="仿宋" w:eastAsia="仿宋" w:cs="仿宋"/>
          <w:color w:val="auto"/>
          <w:sz w:val="32"/>
          <w:szCs w:val="32"/>
          <w:highlight w:val="none"/>
          <w:u w:val="none"/>
        </w:rPr>
        <w:t>个，项目预算总金额</w:t>
      </w:r>
      <w:r>
        <w:rPr>
          <w:rFonts w:hint="eastAsia" w:ascii="仿宋" w:hAnsi="仿宋" w:eastAsia="仿宋" w:cs="仿宋"/>
          <w:color w:val="auto"/>
          <w:sz w:val="32"/>
          <w:szCs w:val="32"/>
          <w:highlight w:val="none"/>
          <w:u w:val="none"/>
          <w:lang w:val="en-US" w:eastAsia="zh-CN"/>
        </w:rPr>
        <w:t>254</w:t>
      </w:r>
      <w:r>
        <w:rPr>
          <w:rFonts w:hint="eastAsia" w:ascii="仿宋" w:hAnsi="仿宋" w:eastAsia="仿宋" w:cs="仿宋"/>
          <w:color w:val="auto"/>
          <w:sz w:val="32"/>
          <w:szCs w:val="32"/>
          <w:highlight w:val="none"/>
          <w:u w:val="none"/>
        </w:rPr>
        <w:t>万元。其中，财政本年拨款金额</w:t>
      </w:r>
      <w:r>
        <w:rPr>
          <w:rFonts w:hint="eastAsia" w:ascii="仿宋" w:hAnsi="仿宋" w:eastAsia="仿宋" w:cs="仿宋"/>
          <w:color w:val="auto"/>
          <w:sz w:val="32"/>
          <w:szCs w:val="32"/>
          <w:highlight w:val="none"/>
          <w:u w:val="none"/>
          <w:lang w:val="en-US" w:eastAsia="zh-CN"/>
        </w:rPr>
        <w:t>254</w:t>
      </w:r>
      <w:r>
        <w:rPr>
          <w:rFonts w:hint="eastAsia" w:ascii="仿宋" w:hAnsi="仿宋" w:eastAsia="仿宋" w:cs="仿宋"/>
          <w:color w:val="auto"/>
          <w:sz w:val="32"/>
          <w:szCs w:val="32"/>
          <w:highlight w:val="none"/>
          <w:u w:val="none"/>
        </w:rPr>
        <w:t>万元，财政拨款结转结余</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万元，财政专户管理资金</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万元，单位资金</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w:t>
      </w:r>
    </w:p>
    <w:p w14:paraId="4D40C49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eastAsia="黑体" w:cs="黑体"/>
          <w:b/>
          <w:bCs/>
          <w:color w:val="auto"/>
          <w:sz w:val="32"/>
          <w:szCs w:val="36"/>
          <w:highlight w:val="none"/>
          <w:u w:val="none"/>
        </w:rPr>
      </w:pPr>
      <w:r>
        <w:rPr>
          <w:rFonts w:hint="eastAsia" w:eastAsia="黑体" w:cs="黑体"/>
          <w:b/>
          <w:bCs/>
          <w:color w:val="auto"/>
          <w:sz w:val="32"/>
          <w:szCs w:val="36"/>
          <w:highlight w:val="none"/>
          <w:u w:val="none"/>
        </w:rPr>
        <w:t>十一、一般公共预算机关</w:t>
      </w:r>
      <w:r>
        <w:rPr>
          <w:rFonts w:hint="eastAsia" w:eastAsia="黑体" w:cs="黑体"/>
          <w:b/>
          <w:bCs/>
          <w:color w:val="auto"/>
          <w:sz w:val="32"/>
          <w:szCs w:val="36"/>
          <w:highlight w:val="none"/>
          <w:u w:val="none"/>
          <w:lang w:eastAsia="zh-CN"/>
        </w:rPr>
        <w:t>（</w:t>
      </w:r>
      <w:r>
        <w:rPr>
          <w:rFonts w:hint="eastAsia" w:eastAsia="黑体" w:cs="黑体"/>
          <w:b/>
          <w:bCs/>
          <w:color w:val="auto"/>
          <w:sz w:val="32"/>
          <w:szCs w:val="36"/>
          <w:highlight w:val="none"/>
          <w:u w:val="none"/>
          <w:lang w:val="en-US" w:eastAsia="zh-CN"/>
        </w:rPr>
        <w:t>事业</w:t>
      </w:r>
      <w:r>
        <w:rPr>
          <w:rFonts w:hint="eastAsia" w:eastAsia="黑体" w:cs="黑体"/>
          <w:b/>
          <w:bCs/>
          <w:color w:val="auto"/>
          <w:sz w:val="32"/>
          <w:szCs w:val="36"/>
          <w:highlight w:val="none"/>
          <w:u w:val="none"/>
          <w:lang w:eastAsia="zh-CN"/>
        </w:rPr>
        <w:t>）</w:t>
      </w:r>
      <w:r>
        <w:rPr>
          <w:rFonts w:hint="eastAsia" w:eastAsia="黑体" w:cs="黑体"/>
          <w:b/>
          <w:bCs/>
          <w:color w:val="auto"/>
          <w:sz w:val="32"/>
          <w:szCs w:val="36"/>
          <w:highlight w:val="none"/>
          <w:u w:val="none"/>
          <w:lang w:val="en-US" w:eastAsia="zh-CN"/>
        </w:rPr>
        <w:t>单位</w:t>
      </w:r>
      <w:r>
        <w:rPr>
          <w:rFonts w:hint="eastAsia" w:eastAsia="黑体" w:cs="黑体"/>
          <w:b/>
          <w:bCs/>
          <w:color w:val="auto"/>
          <w:sz w:val="32"/>
          <w:szCs w:val="36"/>
          <w:highlight w:val="none"/>
          <w:u w:val="none"/>
        </w:rPr>
        <w:t>运行经费支出预算情况说明</w:t>
      </w:r>
    </w:p>
    <w:p w14:paraId="758674D2">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2026</w:t>
      </w:r>
      <w:r>
        <w:rPr>
          <w:rFonts w:hint="eastAsia" w:ascii="仿宋" w:hAnsi="仿宋" w:eastAsia="仿宋" w:cs="仿宋"/>
          <w:color w:val="auto"/>
          <w:sz w:val="32"/>
          <w:szCs w:val="32"/>
          <w:highlight w:val="none"/>
          <w:u w:val="none"/>
        </w:rPr>
        <w:t>年单位一般公共预算机关运行经费预算支出</w:t>
      </w:r>
      <w:r>
        <w:rPr>
          <w:rFonts w:hint="eastAsia" w:ascii="仿宋" w:hAnsi="仿宋" w:eastAsia="仿宋" w:cs="仿宋"/>
          <w:color w:val="auto"/>
          <w:sz w:val="32"/>
          <w:szCs w:val="32"/>
          <w:highlight w:val="none"/>
          <w:u w:val="none"/>
          <w:lang w:val="en-US" w:eastAsia="zh-CN"/>
        </w:rPr>
        <w:t>107.9</w:t>
      </w:r>
      <w:r>
        <w:rPr>
          <w:rFonts w:hint="eastAsia" w:ascii="仿宋" w:hAnsi="仿宋" w:eastAsia="仿宋" w:cs="仿宋"/>
          <w:color w:val="auto"/>
          <w:sz w:val="32"/>
          <w:szCs w:val="32"/>
          <w:highlight w:val="none"/>
          <w:u w:val="none"/>
        </w:rPr>
        <w:t>万元，与上年相比减少</w:t>
      </w:r>
      <w:r>
        <w:rPr>
          <w:rFonts w:hint="eastAsia" w:ascii="仿宋" w:hAnsi="仿宋" w:eastAsia="仿宋" w:cs="仿宋"/>
          <w:color w:val="auto"/>
          <w:sz w:val="32"/>
          <w:szCs w:val="32"/>
          <w:highlight w:val="none"/>
          <w:u w:val="none"/>
          <w:lang w:val="en-US" w:eastAsia="zh-CN"/>
        </w:rPr>
        <w:t>0.98</w:t>
      </w:r>
      <w:r>
        <w:rPr>
          <w:rFonts w:hint="eastAsia" w:ascii="仿宋" w:hAnsi="仿宋" w:eastAsia="仿宋" w:cs="仿宋"/>
          <w:color w:val="auto"/>
          <w:sz w:val="32"/>
          <w:szCs w:val="32"/>
          <w:highlight w:val="none"/>
          <w:u w:val="none"/>
        </w:rPr>
        <w:t>万元，减少</w:t>
      </w:r>
      <w:r>
        <w:rPr>
          <w:rFonts w:hint="eastAsia" w:ascii="仿宋" w:hAnsi="仿宋" w:eastAsia="仿宋" w:cs="仿宋"/>
          <w:color w:val="auto"/>
          <w:sz w:val="32"/>
          <w:szCs w:val="32"/>
          <w:highlight w:val="none"/>
          <w:u w:val="none"/>
          <w:lang w:val="en-US" w:eastAsia="zh-CN"/>
        </w:rPr>
        <w:t>0.9</w:t>
      </w:r>
      <w:r>
        <w:rPr>
          <w:rFonts w:hint="eastAsia" w:ascii="仿宋" w:hAnsi="仿宋" w:eastAsia="仿宋" w:cs="仿宋"/>
          <w:color w:val="auto"/>
          <w:sz w:val="32"/>
          <w:szCs w:val="32"/>
          <w:highlight w:val="none"/>
          <w:u w:val="none"/>
        </w:rPr>
        <w:t>%。主要原因是</w:t>
      </w:r>
      <w:r>
        <w:rPr>
          <w:rFonts w:hint="eastAsia" w:ascii="仿宋" w:hAnsi="仿宋" w:eastAsia="仿宋" w:cs="仿宋"/>
          <w:color w:val="auto"/>
          <w:sz w:val="32"/>
          <w:szCs w:val="32"/>
          <w:highlight w:val="none"/>
          <w:u w:val="none"/>
          <w:lang w:eastAsia="zh-CN"/>
        </w:rPr>
        <w:t>：本年按财政要求缩减办公经费</w:t>
      </w:r>
      <w:r>
        <w:rPr>
          <w:rFonts w:hint="eastAsia" w:ascii="仿宋" w:hAnsi="仿宋" w:eastAsia="仿宋" w:cs="仿宋"/>
          <w:color w:val="auto"/>
          <w:sz w:val="32"/>
          <w:szCs w:val="32"/>
          <w:highlight w:val="none"/>
          <w:u w:val="none"/>
        </w:rPr>
        <w:t>。</w:t>
      </w:r>
    </w:p>
    <w:p w14:paraId="035B616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eastAsia="黑体" w:cs="黑体"/>
          <w:b/>
          <w:bCs/>
          <w:color w:val="auto"/>
          <w:sz w:val="32"/>
          <w:szCs w:val="36"/>
          <w:highlight w:val="none"/>
          <w:u w:val="none"/>
        </w:rPr>
      </w:pPr>
      <w:r>
        <w:rPr>
          <w:rFonts w:hint="eastAsia" w:eastAsia="黑体" w:cs="黑体"/>
          <w:b/>
          <w:bCs/>
          <w:color w:val="auto"/>
          <w:sz w:val="32"/>
          <w:szCs w:val="36"/>
          <w:highlight w:val="none"/>
          <w:u w:val="none"/>
        </w:rPr>
        <w:t>十二、政府采购支出预算情况说明</w:t>
      </w:r>
    </w:p>
    <w:p w14:paraId="7C432E4D">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lang w:val="en-US" w:eastAsia="zh-CN"/>
        </w:rPr>
        <w:t>2026</w:t>
      </w:r>
      <w:r>
        <w:rPr>
          <w:rFonts w:hint="eastAsia" w:ascii="仿宋" w:hAnsi="仿宋" w:eastAsia="仿宋" w:cs="仿宋"/>
          <w:color w:val="auto"/>
          <w:sz w:val="32"/>
          <w:szCs w:val="32"/>
          <w:highlight w:val="none"/>
          <w:u w:val="none"/>
        </w:rPr>
        <w:t>年度政府采购支出预算总额</w:t>
      </w:r>
      <w:r>
        <w:rPr>
          <w:rFonts w:hint="eastAsia" w:ascii="仿宋" w:hAnsi="仿宋" w:eastAsia="仿宋" w:cs="仿宋"/>
          <w:color w:val="auto"/>
          <w:sz w:val="32"/>
          <w:szCs w:val="32"/>
          <w:highlight w:val="none"/>
          <w:u w:val="none"/>
          <w:lang w:val="en-US" w:eastAsia="zh-CN"/>
        </w:rPr>
        <w:t>105.96</w:t>
      </w:r>
      <w:r>
        <w:rPr>
          <w:rFonts w:hint="eastAsia" w:ascii="仿宋" w:hAnsi="仿宋" w:eastAsia="仿宋" w:cs="仿宋"/>
          <w:color w:val="auto"/>
          <w:sz w:val="32"/>
          <w:szCs w:val="32"/>
          <w:highlight w:val="none"/>
          <w:u w:val="none"/>
        </w:rPr>
        <w:t>万元，其中：拟采购货物支出</w:t>
      </w:r>
      <w:r>
        <w:rPr>
          <w:rFonts w:hint="eastAsia" w:ascii="仿宋" w:hAnsi="仿宋" w:eastAsia="仿宋" w:cs="仿宋"/>
          <w:color w:val="auto"/>
          <w:sz w:val="32"/>
          <w:szCs w:val="32"/>
          <w:highlight w:val="none"/>
          <w:u w:val="none"/>
          <w:lang w:val="en-US" w:eastAsia="zh-CN"/>
        </w:rPr>
        <w:t>40.96</w:t>
      </w:r>
      <w:r>
        <w:rPr>
          <w:rFonts w:hint="eastAsia" w:ascii="仿宋" w:hAnsi="仿宋" w:eastAsia="仿宋" w:cs="仿宋"/>
          <w:color w:val="auto"/>
          <w:sz w:val="32"/>
          <w:szCs w:val="32"/>
          <w:highlight w:val="none"/>
          <w:u w:val="none"/>
        </w:rPr>
        <w:t>万元、拟采购工程支出</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万元、拟购买服务支出</w:t>
      </w:r>
      <w:r>
        <w:rPr>
          <w:rFonts w:hint="eastAsia" w:ascii="仿宋" w:hAnsi="仿宋" w:eastAsia="仿宋" w:cs="仿宋"/>
          <w:color w:val="auto"/>
          <w:sz w:val="32"/>
          <w:szCs w:val="32"/>
          <w:highlight w:val="none"/>
          <w:u w:val="none"/>
          <w:lang w:val="en-US" w:eastAsia="zh-CN"/>
        </w:rPr>
        <w:t>65</w:t>
      </w:r>
      <w:r>
        <w:rPr>
          <w:rFonts w:hint="eastAsia" w:ascii="仿宋" w:hAnsi="仿宋" w:eastAsia="仿宋" w:cs="仿宋"/>
          <w:color w:val="auto"/>
          <w:sz w:val="32"/>
          <w:szCs w:val="32"/>
          <w:highlight w:val="none"/>
          <w:u w:val="none"/>
        </w:rPr>
        <w:t>万元。</w:t>
      </w:r>
    </w:p>
    <w:p w14:paraId="273C6E8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eastAsia="黑体" w:cs="黑体"/>
          <w:b/>
          <w:bCs/>
          <w:color w:val="auto"/>
          <w:sz w:val="32"/>
          <w:szCs w:val="36"/>
          <w:highlight w:val="none"/>
          <w:u w:val="none"/>
        </w:rPr>
      </w:pPr>
      <w:r>
        <w:rPr>
          <w:rFonts w:hint="eastAsia" w:eastAsia="黑体" w:cs="黑体"/>
          <w:b/>
          <w:bCs/>
          <w:color w:val="auto"/>
          <w:sz w:val="32"/>
          <w:szCs w:val="36"/>
          <w:highlight w:val="none"/>
          <w:u w:val="none"/>
        </w:rPr>
        <w:t>十三、国有资产占用情况说明</w:t>
      </w:r>
    </w:p>
    <w:p w14:paraId="1DFFF5C1">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本单位共有车辆</w:t>
      </w:r>
      <w:r>
        <w:rPr>
          <w:rFonts w:hint="eastAsia" w:ascii="仿宋" w:hAnsi="仿宋" w:eastAsia="仿宋" w:cs="仿宋"/>
          <w:color w:val="auto"/>
          <w:sz w:val="32"/>
          <w:szCs w:val="32"/>
          <w:highlight w:val="none"/>
          <w:u w:val="none"/>
          <w:lang w:val="en-US" w:eastAsia="zh-CN"/>
        </w:rPr>
        <w:t>11</w:t>
      </w:r>
      <w:r>
        <w:rPr>
          <w:rFonts w:hint="eastAsia" w:ascii="仿宋" w:hAnsi="仿宋" w:eastAsia="仿宋" w:cs="仿宋"/>
          <w:color w:val="auto"/>
          <w:sz w:val="32"/>
          <w:szCs w:val="32"/>
          <w:highlight w:val="none"/>
          <w:u w:val="none"/>
        </w:rPr>
        <w:t>辆，其中，一般公务用车</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辆、执法执勤用车</w:t>
      </w:r>
      <w:r>
        <w:rPr>
          <w:rFonts w:hint="eastAsia" w:ascii="仿宋" w:hAnsi="仿宋" w:eastAsia="仿宋" w:cs="仿宋"/>
          <w:color w:val="auto"/>
          <w:sz w:val="32"/>
          <w:szCs w:val="32"/>
          <w:highlight w:val="none"/>
          <w:u w:val="none"/>
          <w:lang w:val="en-US" w:eastAsia="zh-CN"/>
        </w:rPr>
        <w:t>5</w:t>
      </w:r>
      <w:r>
        <w:rPr>
          <w:rFonts w:hint="eastAsia" w:ascii="仿宋" w:hAnsi="仿宋" w:eastAsia="仿宋" w:cs="仿宋"/>
          <w:color w:val="auto"/>
          <w:sz w:val="32"/>
          <w:szCs w:val="32"/>
          <w:highlight w:val="none"/>
          <w:u w:val="none"/>
        </w:rPr>
        <w:t>辆、特种专业技术用车</w:t>
      </w:r>
      <w:r>
        <w:rPr>
          <w:rFonts w:hint="eastAsia" w:ascii="仿宋" w:hAnsi="仿宋" w:eastAsia="仿宋" w:cs="仿宋"/>
          <w:color w:val="auto"/>
          <w:sz w:val="32"/>
          <w:szCs w:val="32"/>
          <w:highlight w:val="none"/>
          <w:u w:val="none"/>
          <w:lang w:val="en-US" w:eastAsia="zh-CN"/>
        </w:rPr>
        <w:t>4</w:t>
      </w:r>
      <w:r>
        <w:rPr>
          <w:rFonts w:hint="eastAsia" w:ascii="仿宋" w:hAnsi="仿宋" w:eastAsia="仿宋" w:cs="仿宋"/>
          <w:color w:val="auto"/>
          <w:sz w:val="32"/>
          <w:szCs w:val="32"/>
          <w:highlight w:val="none"/>
          <w:u w:val="none"/>
        </w:rPr>
        <w:t>辆、业务用车</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辆、</w:t>
      </w:r>
      <w:r>
        <w:rPr>
          <w:rFonts w:hint="eastAsia" w:ascii="仿宋" w:hAnsi="仿宋" w:eastAsia="仿宋" w:cs="仿宋"/>
          <w:color w:val="auto"/>
          <w:sz w:val="32"/>
          <w:szCs w:val="32"/>
          <w:highlight w:val="none"/>
          <w:u w:val="none"/>
          <w:lang w:val="en-US" w:eastAsia="zh-CN"/>
        </w:rPr>
        <w:t>机要通信用车2辆、</w:t>
      </w:r>
      <w:r>
        <w:rPr>
          <w:rFonts w:hint="eastAsia" w:ascii="仿宋" w:hAnsi="仿宋" w:eastAsia="仿宋" w:cs="仿宋"/>
          <w:color w:val="auto"/>
          <w:sz w:val="32"/>
          <w:szCs w:val="32"/>
          <w:highlight w:val="none"/>
          <w:u w:val="none"/>
        </w:rPr>
        <w:t>其他用车</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辆等。单价50万元（含）以上的通用设备</w:t>
      </w:r>
      <w:r>
        <w:rPr>
          <w:rFonts w:hint="eastAsia" w:ascii="仿宋" w:hAnsi="仿宋" w:eastAsia="仿宋" w:cs="仿宋"/>
          <w:color w:val="auto"/>
          <w:sz w:val="32"/>
          <w:szCs w:val="32"/>
          <w:highlight w:val="none"/>
          <w:u w:val="none"/>
          <w:lang w:val="en-US" w:eastAsia="zh-CN"/>
        </w:rPr>
        <w:t>1</w:t>
      </w:r>
      <w:r>
        <w:rPr>
          <w:rFonts w:hint="eastAsia" w:ascii="仿宋" w:hAnsi="仿宋" w:eastAsia="仿宋" w:cs="仿宋"/>
          <w:color w:val="auto"/>
          <w:sz w:val="32"/>
          <w:szCs w:val="32"/>
          <w:highlight w:val="none"/>
          <w:u w:val="none"/>
        </w:rPr>
        <w:t>台（套），单价100万元（含）以上的通用设备</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台（套），单价200万元（含）以上的通用设备</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台（套）</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单价100万元（含）以上的专用设备</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台（套）</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单价200万元（含）以上的专用设备</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台（套）。</w:t>
      </w:r>
    </w:p>
    <w:p w14:paraId="5982EEF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eastAsia="黑体" w:cs="黑体"/>
          <w:b/>
          <w:bCs/>
          <w:color w:val="auto"/>
          <w:sz w:val="32"/>
          <w:szCs w:val="36"/>
          <w:highlight w:val="none"/>
          <w:u w:val="none"/>
        </w:rPr>
      </w:pPr>
      <w:r>
        <w:rPr>
          <w:rFonts w:hint="eastAsia" w:eastAsia="黑体" w:cs="黑体"/>
          <w:b/>
          <w:bCs/>
          <w:color w:val="auto"/>
          <w:sz w:val="32"/>
          <w:szCs w:val="36"/>
          <w:highlight w:val="none"/>
          <w:u w:val="none"/>
        </w:rPr>
        <w:t>十四、预算绩效目标设置情况说明</w:t>
      </w:r>
    </w:p>
    <w:p w14:paraId="14B835DF">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textAlignment w:val="auto"/>
        <w:rPr>
          <w:rFonts w:hint="eastAsia" w:ascii="仿宋" w:hAnsi="仿宋" w:eastAsia="仿宋" w:cs="仿宋"/>
          <w:i w:val="0"/>
          <w:iCs w:val="0"/>
          <w:color w:val="auto"/>
          <w:sz w:val="32"/>
          <w:szCs w:val="32"/>
          <w:highlight w:val="none"/>
          <w:u w:val="none"/>
        </w:rPr>
      </w:pPr>
      <w:r>
        <w:rPr>
          <w:rFonts w:hint="eastAsia" w:ascii="仿宋" w:hAnsi="仿宋" w:eastAsia="仿宋" w:cs="仿宋"/>
          <w:i w:val="0"/>
          <w:iCs w:val="0"/>
          <w:color w:val="auto"/>
          <w:sz w:val="32"/>
          <w:szCs w:val="32"/>
          <w:highlight w:val="none"/>
          <w:u w:val="none"/>
          <w:lang w:val="en-US" w:eastAsia="zh-CN"/>
        </w:rPr>
        <w:t>2026</w:t>
      </w:r>
      <w:r>
        <w:rPr>
          <w:rFonts w:hint="eastAsia" w:ascii="仿宋" w:hAnsi="仿宋" w:eastAsia="仿宋" w:cs="仿宋"/>
          <w:i w:val="0"/>
          <w:iCs w:val="0"/>
          <w:color w:val="auto"/>
          <w:sz w:val="32"/>
          <w:szCs w:val="32"/>
          <w:highlight w:val="none"/>
          <w:u w:val="none"/>
        </w:rPr>
        <w:t>年，填报绩效目标的预算项目</w:t>
      </w:r>
      <w:r>
        <w:rPr>
          <w:rFonts w:hint="eastAsia" w:ascii="仿宋" w:hAnsi="仿宋" w:eastAsia="仿宋" w:cs="仿宋"/>
          <w:i w:val="0"/>
          <w:iCs w:val="0"/>
          <w:color w:val="auto"/>
          <w:sz w:val="32"/>
          <w:szCs w:val="32"/>
          <w:highlight w:val="none"/>
          <w:u w:val="none"/>
          <w:lang w:val="en-US" w:eastAsia="zh-CN"/>
        </w:rPr>
        <w:t>2</w:t>
      </w:r>
      <w:r>
        <w:rPr>
          <w:rFonts w:hint="eastAsia" w:ascii="仿宋" w:hAnsi="仿宋" w:eastAsia="仿宋" w:cs="仿宋"/>
          <w:i w:val="0"/>
          <w:iCs w:val="0"/>
          <w:color w:val="auto"/>
          <w:sz w:val="32"/>
          <w:szCs w:val="32"/>
          <w:highlight w:val="none"/>
          <w:u w:val="none"/>
        </w:rPr>
        <w:t>个，公开绩效目标</w:t>
      </w:r>
      <w:r>
        <w:rPr>
          <w:rFonts w:hint="eastAsia" w:ascii="仿宋" w:hAnsi="仿宋" w:eastAsia="仿宋" w:cs="仿宋"/>
          <w:i w:val="0"/>
          <w:iCs w:val="0"/>
          <w:color w:val="auto"/>
          <w:sz w:val="32"/>
          <w:szCs w:val="32"/>
          <w:highlight w:val="none"/>
          <w:u w:val="none"/>
          <w:lang w:val="en-US" w:eastAsia="zh-CN"/>
        </w:rPr>
        <w:t>2</w:t>
      </w:r>
      <w:r>
        <w:rPr>
          <w:rFonts w:hint="eastAsia" w:ascii="仿宋" w:hAnsi="仿宋" w:eastAsia="仿宋" w:cs="仿宋"/>
          <w:i w:val="0"/>
          <w:iCs w:val="0"/>
          <w:color w:val="auto"/>
          <w:sz w:val="32"/>
          <w:szCs w:val="32"/>
          <w:highlight w:val="none"/>
          <w:u w:val="none"/>
        </w:rPr>
        <w:t>个，公开项目占全部预算项目的100 %。公开填报绩效目标的项目预算</w:t>
      </w:r>
      <w:r>
        <w:rPr>
          <w:rFonts w:hint="eastAsia" w:ascii="仿宋" w:hAnsi="仿宋" w:eastAsia="仿宋" w:cs="仿宋"/>
          <w:i w:val="0"/>
          <w:iCs w:val="0"/>
          <w:color w:val="auto"/>
          <w:sz w:val="32"/>
          <w:szCs w:val="32"/>
          <w:highlight w:val="none"/>
          <w:u w:val="none"/>
          <w:lang w:val="en-US" w:eastAsia="zh-CN"/>
        </w:rPr>
        <w:t>254</w:t>
      </w:r>
      <w:r>
        <w:rPr>
          <w:rFonts w:hint="eastAsia" w:ascii="仿宋" w:hAnsi="仿宋" w:eastAsia="仿宋" w:cs="仿宋"/>
          <w:i w:val="0"/>
          <w:iCs w:val="0"/>
          <w:color w:val="auto"/>
          <w:sz w:val="32"/>
          <w:szCs w:val="32"/>
          <w:highlight w:val="none"/>
          <w:u w:val="none"/>
        </w:rPr>
        <w:t>万元，占全部项目预算的100%。</w:t>
      </w:r>
    </w:p>
    <w:p w14:paraId="76FAD870">
      <w:pPr>
        <w:pStyle w:val="5"/>
        <w:keepNext/>
        <w:keepLines/>
        <w:pageBreakBefore w:val="0"/>
        <w:widowControl w:val="0"/>
        <w:tabs>
          <w:tab w:val="left" w:pos="4392"/>
        </w:tabs>
        <w:kinsoku/>
        <w:wordWrap/>
        <w:overflowPunct/>
        <w:topLinePunct w:val="0"/>
        <w:autoSpaceDE/>
        <w:autoSpaceDN/>
        <w:bidi w:val="0"/>
        <w:adjustRightInd/>
        <w:snapToGrid/>
        <w:spacing w:before="0" w:after="0" w:line="360" w:lineRule="auto"/>
        <w:jc w:val="center"/>
        <w:textAlignment w:val="auto"/>
        <w:rPr>
          <w:rFonts w:hint="eastAsia" w:ascii="微软雅黑" w:hAnsi="微软雅黑" w:eastAsia="微软雅黑" w:cs="微软雅黑"/>
          <w:color w:val="auto"/>
          <w:sz w:val="36"/>
          <w:szCs w:val="36"/>
          <w:highlight w:val="none"/>
        </w:rPr>
      </w:pPr>
      <w:r>
        <w:rPr>
          <w:rFonts w:hint="eastAsia" w:ascii="微软雅黑" w:hAnsi="微软雅黑" w:eastAsia="微软雅黑" w:cs="微软雅黑"/>
          <w:color w:val="auto"/>
          <w:sz w:val="36"/>
          <w:szCs w:val="36"/>
          <w:highlight w:val="none"/>
        </w:rPr>
        <w:t>第</w:t>
      </w:r>
      <w:r>
        <w:rPr>
          <w:rFonts w:hint="eastAsia" w:ascii="微软雅黑" w:hAnsi="微软雅黑" w:eastAsia="微软雅黑" w:cs="微软雅黑"/>
          <w:color w:val="auto"/>
          <w:sz w:val="36"/>
          <w:szCs w:val="36"/>
          <w:highlight w:val="none"/>
          <w:lang w:val="en-US" w:eastAsia="zh-CN"/>
        </w:rPr>
        <w:t>三</w:t>
      </w:r>
      <w:r>
        <w:rPr>
          <w:rFonts w:hint="eastAsia" w:ascii="微软雅黑" w:hAnsi="微软雅黑" w:eastAsia="微软雅黑" w:cs="微软雅黑"/>
          <w:color w:val="auto"/>
          <w:sz w:val="36"/>
          <w:szCs w:val="36"/>
          <w:highlight w:val="none"/>
        </w:rPr>
        <w:t>部分  名词解释</w:t>
      </w:r>
    </w:p>
    <w:p w14:paraId="77C0923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color w:val="auto"/>
          <w:sz w:val="32"/>
          <w:szCs w:val="32"/>
          <w:highlight w:val="none"/>
        </w:rPr>
      </w:pPr>
      <w:r>
        <w:rPr>
          <w:rFonts w:hint="eastAsia" w:eastAsia="仿宋_GB2312" w:cstheme="minorBidi"/>
          <w:b/>
          <w:bCs w:val="0"/>
          <w:color w:val="auto"/>
          <w:sz w:val="32"/>
          <w:szCs w:val="32"/>
          <w:highlight w:val="none"/>
        </w:rPr>
        <w:t>一、财政拨款：</w:t>
      </w:r>
      <w:r>
        <w:rPr>
          <w:rFonts w:hint="eastAsia" w:eastAsia="仿宋_GB2312" w:cstheme="minorBidi"/>
          <w:color w:val="auto"/>
          <w:sz w:val="32"/>
          <w:szCs w:val="32"/>
          <w:highlight w:val="none"/>
        </w:rPr>
        <w:t>部门/单位从同级财政部门取得的各类财政拨款，包括一般公共预算拨款、政府性基金预算拨款、国有资本经营预算拨款。</w:t>
      </w:r>
    </w:p>
    <w:p w14:paraId="720C0F2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rPr>
      </w:pPr>
      <w:r>
        <w:rPr>
          <w:rFonts w:hint="eastAsia" w:eastAsia="仿宋_GB2312" w:cstheme="minorBidi"/>
          <w:b/>
          <w:bCs w:val="0"/>
          <w:color w:val="auto"/>
          <w:sz w:val="32"/>
          <w:szCs w:val="32"/>
          <w:highlight w:val="none"/>
          <w:lang w:val="en-US" w:eastAsia="zh-CN"/>
        </w:rPr>
        <w:t>二、一般公共预算拨款收入：</w:t>
      </w:r>
      <w:r>
        <w:rPr>
          <w:rFonts w:hint="eastAsia" w:eastAsia="仿宋_GB2312" w:cstheme="minorBidi"/>
          <w:bCs/>
          <w:color w:val="auto"/>
          <w:sz w:val="32"/>
          <w:szCs w:val="32"/>
          <w:highlight w:val="none"/>
          <w:lang w:val="en-US" w:eastAsia="zh-CN"/>
        </w:rPr>
        <w:t>指财政当年拨付的资金。</w:t>
      </w:r>
    </w:p>
    <w:p w14:paraId="31544D9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rPr>
      </w:pPr>
      <w:r>
        <w:rPr>
          <w:rFonts w:hint="eastAsia" w:eastAsia="仿宋_GB2312" w:cstheme="minorBidi"/>
          <w:b/>
          <w:bCs w:val="0"/>
          <w:color w:val="auto"/>
          <w:sz w:val="32"/>
          <w:szCs w:val="32"/>
          <w:highlight w:val="none"/>
          <w:lang w:val="en-US" w:eastAsia="zh-CN"/>
        </w:rPr>
        <w:t>三</w:t>
      </w:r>
      <w:r>
        <w:rPr>
          <w:rFonts w:hint="eastAsia" w:eastAsia="仿宋_GB2312" w:cstheme="minorBidi"/>
          <w:b/>
          <w:bCs w:val="0"/>
          <w:color w:val="auto"/>
          <w:sz w:val="32"/>
          <w:szCs w:val="32"/>
          <w:highlight w:val="none"/>
        </w:rPr>
        <w:t>、财政专户管理资金：</w:t>
      </w:r>
      <w:r>
        <w:rPr>
          <w:rFonts w:hint="eastAsia" w:eastAsia="仿宋_GB2312" w:cstheme="minorBidi"/>
          <w:bCs/>
          <w:color w:val="auto"/>
          <w:sz w:val="32"/>
          <w:szCs w:val="32"/>
          <w:highlight w:val="none"/>
        </w:rPr>
        <w:t>缴入财政专户、实行专项管理的高中以上学费、住宿费、高校委托培养费、函大、电大、夜大及短训班培训费等教育收费。</w:t>
      </w:r>
    </w:p>
    <w:p w14:paraId="020F2BB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rPr>
      </w:pPr>
      <w:r>
        <w:rPr>
          <w:rFonts w:hint="eastAsia" w:eastAsia="仿宋_GB2312" w:cstheme="minorBidi"/>
          <w:b/>
          <w:bCs w:val="0"/>
          <w:color w:val="auto"/>
          <w:sz w:val="32"/>
          <w:szCs w:val="32"/>
          <w:highlight w:val="none"/>
          <w:lang w:val="en-US" w:eastAsia="zh-CN"/>
        </w:rPr>
        <w:t>四</w:t>
      </w:r>
      <w:r>
        <w:rPr>
          <w:rFonts w:hint="eastAsia" w:eastAsia="仿宋_GB2312" w:cstheme="minorBidi"/>
          <w:b/>
          <w:bCs w:val="0"/>
          <w:color w:val="auto"/>
          <w:sz w:val="32"/>
          <w:szCs w:val="32"/>
          <w:highlight w:val="none"/>
        </w:rPr>
        <w:t>、单位资金：</w:t>
      </w:r>
      <w:r>
        <w:rPr>
          <w:rFonts w:hint="eastAsia" w:eastAsia="仿宋_GB2312" w:cstheme="minorBidi"/>
          <w:bCs/>
          <w:color w:val="auto"/>
          <w:sz w:val="32"/>
          <w:szCs w:val="32"/>
          <w:highlight w:val="none"/>
        </w:rPr>
        <w:t>除财政拨款收入和财政专户管理资金以外的收入，包括事业收入（不含教育收费）、上级补助收入、附属单位上缴收入、事业单位经营收入及其他收入（包含债务收入、投资收益等）。</w:t>
      </w:r>
    </w:p>
    <w:p w14:paraId="4DB06F4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rPr>
      </w:pPr>
      <w:r>
        <w:rPr>
          <w:rFonts w:hint="eastAsia" w:eastAsia="仿宋_GB2312" w:cstheme="minorBidi"/>
          <w:b/>
          <w:bCs w:val="0"/>
          <w:color w:val="auto"/>
          <w:sz w:val="32"/>
          <w:szCs w:val="32"/>
          <w:highlight w:val="none"/>
          <w:lang w:val="en-US" w:eastAsia="zh-CN"/>
        </w:rPr>
        <w:t>五、事业收入：</w:t>
      </w:r>
      <w:r>
        <w:rPr>
          <w:rFonts w:hint="eastAsia" w:eastAsia="仿宋_GB2312" w:cstheme="minorBidi"/>
          <w:bCs/>
          <w:color w:val="auto"/>
          <w:sz w:val="32"/>
          <w:szCs w:val="32"/>
          <w:highlight w:val="none"/>
          <w:lang w:val="en-US" w:eastAsia="zh-CN"/>
        </w:rPr>
        <w:t>指事业单位开展专业业务活动及辅助活动所取得的收入。</w:t>
      </w:r>
    </w:p>
    <w:p w14:paraId="43F8253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rPr>
      </w:pPr>
      <w:r>
        <w:rPr>
          <w:rFonts w:hint="eastAsia" w:eastAsia="仿宋_GB2312" w:cstheme="minorBidi"/>
          <w:b/>
          <w:bCs w:val="0"/>
          <w:color w:val="auto"/>
          <w:sz w:val="32"/>
          <w:szCs w:val="32"/>
          <w:highlight w:val="none"/>
          <w:lang w:val="en-US" w:eastAsia="zh-CN"/>
        </w:rPr>
        <w:t>六、事业单位经营收入：</w:t>
      </w:r>
      <w:r>
        <w:rPr>
          <w:rFonts w:hint="eastAsia" w:eastAsia="仿宋_GB2312" w:cstheme="minorBidi"/>
          <w:bCs/>
          <w:color w:val="auto"/>
          <w:sz w:val="32"/>
          <w:szCs w:val="32"/>
          <w:highlight w:val="none"/>
          <w:lang w:val="en-US" w:eastAsia="zh-CN"/>
        </w:rPr>
        <w:t>指事业单位在专业业务活动及其辅助活动之外开展非独立核算经营活动取得的收入。</w:t>
      </w:r>
    </w:p>
    <w:p w14:paraId="09DF06B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rPr>
      </w:pPr>
      <w:r>
        <w:rPr>
          <w:rFonts w:hint="eastAsia" w:eastAsia="仿宋_GB2312" w:cstheme="minorBidi"/>
          <w:b/>
          <w:bCs w:val="0"/>
          <w:color w:val="auto"/>
          <w:sz w:val="32"/>
          <w:szCs w:val="32"/>
          <w:highlight w:val="none"/>
          <w:lang w:val="en-US" w:eastAsia="zh-CN"/>
        </w:rPr>
        <w:t>七、其他收入：</w:t>
      </w:r>
      <w:r>
        <w:rPr>
          <w:rFonts w:hint="eastAsia" w:eastAsia="仿宋_GB2312" w:cstheme="minorBidi"/>
          <w:bCs/>
          <w:color w:val="auto"/>
          <w:sz w:val="32"/>
          <w:szCs w:val="32"/>
          <w:highlight w:val="none"/>
          <w:lang w:val="en-US" w:eastAsia="zh-CN"/>
        </w:rPr>
        <w:t>指除上述“财政拨款收入”、“事业收入”、“事业单位经营收入”等以外的收入。主要是按规定动用的售房收入、存款利息收入等。</w:t>
      </w:r>
    </w:p>
    <w:p w14:paraId="0BB82BB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rPr>
      </w:pPr>
      <w:r>
        <w:rPr>
          <w:rFonts w:hint="eastAsia" w:eastAsia="仿宋_GB2312" w:cstheme="minorBidi"/>
          <w:b/>
          <w:bCs w:val="0"/>
          <w:color w:val="auto"/>
          <w:sz w:val="32"/>
          <w:szCs w:val="32"/>
          <w:highlight w:val="none"/>
          <w:lang w:val="en-US" w:eastAsia="zh-CN"/>
        </w:rPr>
        <w:t>八、用事业基金弥补收支差额：</w:t>
      </w:r>
      <w:r>
        <w:rPr>
          <w:rFonts w:hint="eastAsia" w:eastAsia="仿宋_GB2312" w:cstheme="minorBidi"/>
          <w:bCs/>
          <w:color w:val="auto"/>
          <w:sz w:val="32"/>
          <w:szCs w:val="32"/>
          <w:highlight w:val="none"/>
          <w:lang w:val="en-US" w:eastAsia="zh-CN"/>
        </w:rPr>
        <w:t>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 度收支缺口的资金。</w:t>
      </w:r>
    </w:p>
    <w:p w14:paraId="7942892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lang w:val="en-US" w:eastAsia="zh-CN"/>
        </w:rPr>
      </w:pPr>
      <w:r>
        <w:rPr>
          <w:rFonts w:hint="eastAsia" w:eastAsia="仿宋_GB2312" w:cstheme="minorBidi"/>
          <w:b/>
          <w:bCs w:val="0"/>
          <w:color w:val="auto"/>
          <w:sz w:val="32"/>
          <w:szCs w:val="32"/>
          <w:highlight w:val="none"/>
          <w:lang w:val="en-US" w:eastAsia="zh-CN"/>
        </w:rPr>
        <w:t>九、上年结转：</w:t>
      </w:r>
      <w:r>
        <w:rPr>
          <w:rFonts w:hint="eastAsia" w:eastAsia="仿宋_GB2312" w:cstheme="minorBidi"/>
          <w:bCs/>
          <w:color w:val="auto"/>
          <w:sz w:val="32"/>
          <w:szCs w:val="32"/>
          <w:highlight w:val="none"/>
          <w:lang w:val="en-US" w:eastAsia="zh-CN"/>
        </w:rPr>
        <w:t>指以前年度尚未完成、结转到本年仍按原规定用途继续使用的资金。</w:t>
      </w:r>
    </w:p>
    <w:p w14:paraId="5D96B4E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rPr>
      </w:pPr>
      <w:r>
        <w:rPr>
          <w:rFonts w:hint="eastAsia" w:eastAsia="仿宋_GB2312" w:cstheme="minorBidi"/>
          <w:b/>
          <w:bCs w:val="0"/>
          <w:color w:val="auto"/>
          <w:sz w:val="32"/>
          <w:szCs w:val="32"/>
          <w:highlight w:val="none"/>
          <w:lang w:val="en-US" w:eastAsia="zh-CN"/>
        </w:rPr>
        <w:t>十、结转下年：</w:t>
      </w:r>
      <w:r>
        <w:rPr>
          <w:rFonts w:hint="eastAsia" w:eastAsia="仿宋_GB2312" w:cstheme="minorBidi"/>
          <w:bCs/>
          <w:color w:val="auto"/>
          <w:sz w:val="32"/>
          <w:szCs w:val="32"/>
          <w:highlight w:val="none"/>
          <w:lang w:val="en-US" w:eastAsia="zh-CN"/>
        </w:rPr>
        <w:t>指以前年度预算安排、因客观条件发生变化无法按原计划实施，需延迟到以后年度按原规定用途继续使用的资金。</w:t>
      </w:r>
    </w:p>
    <w:p w14:paraId="5559419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rPr>
      </w:pPr>
      <w:r>
        <w:rPr>
          <w:rFonts w:hint="eastAsia" w:eastAsia="仿宋_GB2312" w:cstheme="minorBidi"/>
          <w:b/>
          <w:bCs w:val="0"/>
          <w:color w:val="auto"/>
          <w:sz w:val="32"/>
          <w:szCs w:val="32"/>
          <w:highlight w:val="none"/>
          <w:lang w:val="en-US" w:eastAsia="zh-CN"/>
        </w:rPr>
        <w:t>十一、一般公共服务（类）财政事务（款）：</w:t>
      </w:r>
      <w:r>
        <w:rPr>
          <w:rFonts w:hint="eastAsia" w:eastAsia="仿宋_GB2312" w:cstheme="minorBidi"/>
          <w:bCs/>
          <w:color w:val="auto"/>
          <w:sz w:val="32"/>
          <w:szCs w:val="32"/>
          <w:highlight w:val="none"/>
          <w:lang w:val="en-US" w:eastAsia="zh-CN"/>
        </w:rPr>
        <w:t>指用于保障机构正常运行、开展财政管理活动的支出。</w:t>
      </w:r>
    </w:p>
    <w:p w14:paraId="40E5FBD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rPr>
      </w:pPr>
      <w:r>
        <w:rPr>
          <w:rFonts w:hint="eastAsia" w:eastAsia="仿宋_GB2312" w:cstheme="minorBidi"/>
          <w:b/>
          <w:bCs w:val="0"/>
          <w:color w:val="auto"/>
          <w:sz w:val="32"/>
          <w:szCs w:val="32"/>
          <w:highlight w:val="none"/>
          <w:lang w:val="en-US" w:eastAsia="zh-CN"/>
        </w:rPr>
        <w:t>十二、社会保障和就业（类）人力资源和社会保障管理事务（款）：</w:t>
      </w:r>
      <w:r>
        <w:rPr>
          <w:rFonts w:hint="eastAsia" w:eastAsia="仿宋_GB2312" w:cstheme="minorBidi"/>
          <w:bCs/>
          <w:color w:val="auto"/>
          <w:sz w:val="32"/>
          <w:szCs w:val="32"/>
          <w:highlight w:val="none"/>
          <w:lang w:val="en-US" w:eastAsia="zh-CN"/>
        </w:rPr>
        <w:t>指用于人力资源引进人才补助方面的支出。</w:t>
      </w:r>
    </w:p>
    <w:p w14:paraId="6BBB54A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rPr>
      </w:pPr>
      <w:r>
        <w:rPr>
          <w:rFonts w:hint="eastAsia" w:eastAsia="仿宋_GB2312" w:cstheme="minorBidi"/>
          <w:b/>
          <w:bCs w:val="0"/>
          <w:color w:val="auto"/>
          <w:sz w:val="32"/>
          <w:szCs w:val="32"/>
          <w:highlight w:val="none"/>
          <w:lang w:val="en-US" w:eastAsia="zh-CN"/>
        </w:rPr>
        <w:t>十三、社会保障和就业支出（类）行政事业单位养老支出（款）：</w:t>
      </w:r>
      <w:r>
        <w:rPr>
          <w:rFonts w:hint="eastAsia" w:eastAsia="仿宋_GB2312" w:cstheme="minorBidi"/>
          <w:bCs/>
          <w:color w:val="auto"/>
          <w:sz w:val="32"/>
          <w:szCs w:val="32"/>
          <w:highlight w:val="none"/>
          <w:lang w:val="en-US" w:eastAsia="zh-CN"/>
        </w:rPr>
        <w:t>指机关及属事业单位按照国家政策规定用于养老方面的支出。</w:t>
      </w:r>
    </w:p>
    <w:p w14:paraId="509A9FE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rPr>
      </w:pPr>
      <w:r>
        <w:rPr>
          <w:rFonts w:hint="eastAsia" w:eastAsia="仿宋_GB2312" w:cstheme="minorBidi"/>
          <w:b/>
          <w:bCs w:val="0"/>
          <w:color w:val="auto"/>
          <w:sz w:val="32"/>
          <w:szCs w:val="32"/>
          <w:highlight w:val="none"/>
          <w:lang w:val="en-US" w:eastAsia="zh-CN"/>
        </w:rPr>
        <w:t>十四、住房保障支出（类）住房改革支出（款）：</w:t>
      </w:r>
      <w:r>
        <w:rPr>
          <w:rFonts w:hint="eastAsia" w:eastAsia="仿宋_GB2312" w:cstheme="minorBidi"/>
          <w:bCs/>
          <w:color w:val="auto"/>
          <w:sz w:val="32"/>
          <w:szCs w:val="32"/>
          <w:highlight w:val="none"/>
          <w:lang w:val="en-US" w:eastAsia="zh-CN"/>
        </w:rPr>
        <w:t>指机关及属事业单位按照国家政策规定用于住房改革方面的支出。</w:t>
      </w:r>
    </w:p>
    <w:p w14:paraId="64624DE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rPr>
      </w:pPr>
      <w:r>
        <w:rPr>
          <w:rFonts w:hint="eastAsia" w:eastAsia="仿宋_GB2312" w:cstheme="minorBidi"/>
          <w:b/>
          <w:bCs w:val="0"/>
          <w:color w:val="auto"/>
          <w:sz w:val="32"/>
          <w:szCs w:val="32"/>
          <w:highlight w:val="none"/>
          <w:lang w:val="en-US" w:eastAsia="zh-CN"/>
        </w:rPr>
        <w:t>十五、卫生健康支出（类）行政事业单位医疗（款）：</w:t>
      </w:r>
      <w:r>
        <w:rPr>
          <w:rFonts w:hint="eastAsia" w:eastAsia="仿宋_GB2312" w:cstheme="minorBidi"/>
          <w:bCs/>
          <w:color w:val="auto"/>
          <w:sz w:val="32"/>
          <w:szCs w:val="32"/>
          <w:highlight w:val="none"/>
          <w:lang w:val="en-US" w:eastAsia="zh-CN"/>
        </w:rPr>
        <w:t>指机关及属事业单位按照国家政策规定用于医疗方面的支出。</w:t>
      </w:r>
    </w:p>
    <w:p w14:paraId="2AE098B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eastAsia="仿宋_GB2312" w:cstheme="minorBidi"/>
          <w:bCs/>
          <w:color w:val="auto"/>
          <w:sz w:val="32"/>
          <w:szCs w:val="32"/>
          <w:highlight w:val="none"/>
        </w:rPr>
      </w:pPr>
      <w:r>
        <w:rPr>
          <w:rFonts w:hint="eastAsia" w:eastAsia="仿宋_GB2312" w:cstheme="minorBidi"/>
          <w:b/>
          <w:bCs w:val="0"/>
          <w:color w:val="auto"/>
          <w:sz w:val="32"/>
          <w:szCs w:val="32"/>
          <w:highlight w:val="none"/>
          <w:lang w:val="en-US" w:eastAsia="zh-CN"/>
        </w:rPr>
        <w:t>十六、住房公积金：</w:t>
      </w:r>
      <w:r>
        <w:rPr>
          <w:rFonts w:hint="eastAsia" w:eastAsia="仿宋_GB2312" w:cstheme="minorBidi"/>
          <w:bCs/>
          <w:color w:val="auto"/>
          <w:sz w:val="32"/>
          <w:szCs w:val="32"/>
          <w:highlight w:val="none"/>
          <w:lang w:val="en-US" w:eastAsia="zh-CN"/>
        </w:rPr>
        <w:t>指按照国家统一规定，按规定比例为职工缴纳的住房公积金。</w:t>
      </w:r>
    </w:p>
    <w:p w14:paraId="62723CC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eastAsia="仿宋_GB2312" w:cstheme="minorBidi"/>
          <w:color w:val="auto"/>
          <w:sz w:val="32"/>
          <w:szCs w:val="32"/>
          <w:highlight w:val="none"/>
        </w:rPr>
      </w:pPr>
      <w:r>
        <w:rPr>
          <w:rFonts w:hint="eastAsia" w:eastAsia="仿宋_GB2312" w:cstheme="minorBidi"/>
          <w:b/>
          <w:bCs w:val="0"/>
          <w:color w:val="auto"/>
          <w:sz w:val="32"/>
          <w:szCs w:val="32"/>
          <w:highlight w:val="none"/>
          <w:lang w:val="en-US" w:eastAsia="zh-CN"/>
        </w:rPr>
        <w:t>十七</w:t>
      </w:r>
      <w:r>
        <w:rPr>
          <w:rFonts w:hint="eastAsia" w:eastAsia="仿宋_GB2312" w:cstheme="minorBidi"/>
          <w:b/>
          <w:bCs w:val="0"/>
          <w:color w:val="auto"/>
          <w:sz w:val="32"/>
          <w:szCs w:val="32"/>
          <w:highlight w:val="none"/>
        </w:rPr>
        <w:t>、基本支出：</w:t>
      </w:r>
      <w:r>
        <w:rPr>
          <w:rFonts w:hint="eastAsia" w:eastAsia="仿宋_GB2312" w:cstheme="minorBidi"/>
          <w:color w:val="auto"/>
          <w:sz w:val="32"/>
          <w:szCs w:val="32"/>
          <w:highlight w:val="none"/>
        </w:rPr>
        <w:t>指为保障机构正常运转、完成工作任务而发生的人员支出和公用支出。</w:t>
      </w:r>
    </w:p>
    <w:p w14:paraId="245E8CE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eastAsia="仿宋_GB2312" w:cstheme="minorBidi"/>
          <w:color w:val="auto"/>
          <w:sz w:val="32"/>
          <w:szCs w:val="32"/>
          <w:highlight w:val="none"/>
        </w:rPr>
      </w:pPr>
      <w:r>
        <w:rPr>
          <w:rFonts w:hint="eastAsia" w:eastAsia="仿宋_GB2312" w:cstheme="minorBidi"/>
          <w:b/>
          <w:bCs w:val="0"/>
          <w:color w:val="auto"/>
          <w:sz w:val="32"/>
          <w:szCs w:val="32"/>
          <w:highlight w:val="none"/>
          <w:lang w:val="en-US" w:eastAsia="zh-CN"/>
        </w:rPr>
        <w:t>十八</w:t>
      </w:r>
      <w:r>
        <w:rPr>
          <w:rFonts w:hint="eastAsia" w:eastAsia="仿宋_GB2312" w:cstheme="minorBidi"/>
          <w:b/>
          <w:bCs w:val="0"/>
          <w:color w:val="auto"/>
          <w:sz w:val="32"/>
          <w:szCs w:val="32"/>
          <w:highlight w:val="none"/>
        </w:rPr>
        <w:t>、项目支出：</w:t>
      </w:r>
      <w:r>
        <w:rPr>
          <w:rFonts w:hint="eastAsia" w:eastAsia="仿宋_GB2312" w:cstheme="minorBidi"/>
          <w:color w:val="auto"/>
          <w:sz w:val="32"/>
          <w:szCs w:val="32"/>
          <w:highlight w:val="none"/>
        </w:rPr>
        <w:t>指在基本支出之外为完成特定工作任务和事业发展目标所发生的支出。</w:t>
      </w:r>
    </w:p>
    <w:p w14:paraId="3555ABC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eastAsia="仿宋_GB2312" w:cstheme="minorBidi"/>
          <w:color w:val="auto"/>
          <w:sz w:val="32"/>
          <w:szCs w:val="32"/>
          <w:highlight w:val="none"/>
        </w:rPr>
      </w:pPr>
      <w:r>
        <w:rPr>
          <w:rFonts w:hint="eastAsia" w:eastAsia="仿宋_GB2312" w:cstheme="minorBidi"/>
          <w:b/>
          <w:bCs w:val="0"/>
          <w:color w:val="auto"/>
          <w:sz w:val="32"/>
          <w:szCs w:val="32"/>
          <w:highlight w:val="none"/>
          <w:lang w:val="en-US" w:eastAsia="zh-CN"/>
        </w:rPr>
        <w:t>十九</w:t>
      </w:r>
      <w:r>
        <w:rPr>
          <w:rFonts w:hint="eastAsia" w:eastAsia="仿宋_GB2312" w:cstheme="minorBidi"/>
          <w:b/>
          <w:bCs w:val="0"/>
          <w:color w:val="auto"/>
          <w:sz w:val="32"/>
          <w:szCs w:val="32"/>
          <w:highlight w:val="none"/>
        </w:rPr>
        <w:t>、“三公”经费：</w:t>
      </w:r>
      <w:r>
        <w:rPr>
          <w:rFonts w:hint="eastAsia" w:eastAsia="仿宋_GB2312" w:cstheme="minorBidi"/>
          <w:color w:val="auto"/>
          <w:sz w:val="32"/>
          <w:szCs w:val="32"/>
          <w:highlight w:val="none"/>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14:paraId="58A57DF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eastAsia="仿宋_GB2312" w:cstheme="minorBidi"/>
          <w:color w:val="auto"/>
          <w:sz w:val="32"/>
          <w:szCs w:val="32"/>
          <w:highlight w:val="none"/>
        </w:rPr>
      </w:pPr>
      <w:r>
        <w:rPr>
          <w:rFonts w:hint="eastAsia" w:eastAsia="仿宋_GB2312" w:cstheme="minorBidi"/>
          <w:b/>
          <w:bCs w:val="0"/>
          <w:color w:val="auto"/>
          <w:sz w:val="32"/>
          <w:szCs w:val="32"/>
          <w:highlight w:val="none"/>
          <w:lang w:val="en-US" w:eastAsia="zh-CN"/>
        </w:rPr>
        <w:t>二十</w:t>
      </w:r>
      <w:r>
        <w:rPr>
          <w:rFonts w:hint="eastAsia" w:eastAsia="仿宋_GB2312" w:cstheme="minorBidi"/>
          <w:b/>
          <w:bCs w:val="0"/>
          <w:color w:val="auto"/>
          <w:sz w:val="32"/>
          <w:szCs w:val="32"/>
          <w:highlight w:val="none"/>
        </w:rPr>
        <w:t>、机关运行经费：</w:t>
      </w:r>
      <w:r>
        <w:rPr>
          <w:rFonts w:hint="eastAsia" w:eastAsia="仿宋_GB2312" w:cstheme="minorBidi"/>
          <w:color w:val="auto"/>
          <w:sz w:val="32"/>
          <w:szCs w:val="32"/>
          <w:highlight w:val="none"/>
        </w:rPr>
        <w:t>指部门</w:t>
      </w:r>
      <w:r>
        <w:rPr>
          <w:rFonts w:hint="eastAsia" w:eastAsia="仿宋_GB2312" w:cstheme="minorBidi"/>
          <w:color w:val="auto"/>
          <w:sz w:val="32"/>
          <w:szCs w:val="32"/>
          <w:highlight w:val="none"/>
          <w:lang w:val="en-US" w:eastAsia="zh-CN"/>
        </w:rPr>
        <w:t>或（机关、事业）</w:t>
      </w:r>
      <w:r>
        <w:rPr>
          <w:rFonts w:hint="eastAsia" w:eastAsia="仿宋_GB2312" w:cstheme="minorBidi"/>
          <w:color w:val="auto"/>
          <w:sz w:val="32"/>
          <w:szCs w:val="32"/>
          <w:highlight w:val="none"/>
        </w:rPr>
        <w:t>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62AF076">
      <w:pPr>
        <w:pStyle w:val="5"/>
        <w:keepNext/>
        <w:keepLines/>
        <w:pageBreakBefore w:val="0"/>
        <w:widowControl w:val="0"/>
        <w:tabs>
          <w:tab w:val="left" w:pos="4392"/>
        </w:tabs>
        <w:kinsoku/>
        <w:wordWrap/>
        <w:overflowPunct/>
        <w:topLinePunct w:val="0"/>
        <w:autoSpaceDE/>
        <w:autoSpaceDN/>
        <w:bidi w:val="0"/>
        <w:adjustRightInd/>
        <w:snapToGrid/>
        <w:spacing w:before="0" w:after="0" w:line="360" w:lineRule="auto"/>
        <w:jc w:val="center"/>
        <w:textAlignment w:val="auto"/>
        <w:rPr>
          <w:rFonts w:hint="eastAsia" w:ascii="微软雅黑" w:hAnsi="微软雅黑" w:eastAsia="微软雅黑" w:cs="微软雅黑"/>
          <w:color w:val="auto"/>
          <w:sz w:val="36"/>
          <w:szCs w:val="36"/>
          <w:highlight w:val="none"/>
          <w:lang w:val="en-US" w:eastAsia="zh-CN"/>
        </w:rPr>
      </w:pPr>
      <w:r>
        <w:rPr>
          <w:rFonts w:hint="eastAsia" w:ascii="微软雅黑" w:hAnsi="微软雅黑" w:eastAsia="微软雅黑" w:cs="微软雅黑"/>
          <w:color w:val="auto"/>
          <w:sz w:val="36"/>
          <w:szCs w:val="36"/>
          <w:highlight w:val="none"/>
          <w:lang w:val="en-US" w:eastAsia="zh-CN"/>
        </w:rPr>
        <w:t>第四部分</w:t>
      </w:r>
      <w:r>
        <w:rPr>
          <w:rFonts w:hint="eastAsia" w:ascii="微软雅黑" w:hAnsi="微软雅黑" w:eastAsia="微软雅黑" w:cs="微软雅黑"/>
          <w:color w:val="auto"/>
          <w:sz w:val="36"/>
          <w:szCs w:val="36"/>
          <w:highlight w:val="none"/>
        </w:rPr>
        <w:t xml:space="preserve"> </w:t>
      </w:r>
      <w:r>
        <w:rPr>
          <w:rFonts w:hint="eastAsia" w:ascii="微软雅黑" w:hAnsi="微软雅黑" w:eastAsia="微软雅黑" w:cs="微软雅黑"/>
          <w:color w:val="auto"/>
          <w:sz w:val="36"/>
          <w:szCs w:val="36"/>
          <w:highlight w:val="none"/>
          <w:lang w:val="en-US" w:eastAsia="zh-CN"/>
        </w:rPr>
        <w:t xml:space="preserve"> 预算公开联系方式信息反馈渠道</w:t>
      </w:r>
    </w:p>
    <w:p w14:paraId="340CF4C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联系人：红艳</w:t>
      </w:r>
    </w:p>
    <w:p w14:paraId="7AB7EE36">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联系电话:18586002021</w:t>
      </w:r>
      <w:bookmarkStart w:id="0" w:name="_GoBack"/>
      <w:bookmarkEnd w:id="0"/>
    </w:p>
    <w:p w14:paraId="04A49B73">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720" w:firstLineChars="200"/>
        <w:textAlignment w:val="auto"/>
        <w:rPr>
          <w:rFonts w:hint="eastAsia" w:ascii="微软雅黑" w:hAnsi="微软雅黑" w:eastAsia="微软雅黑" w:cs="微软雅黑"/>
          <w:color w:val="auto"/>
          <w:sz w:val="36"/>
          <w:szCs w:val="36"/>
          <w:highlight w:val="none"/>
          <w:lang w:val="en-US" w:eastAsia="zh-CN"/>
        </w:rPr>
      </w:pPr>
      <w:r>
        <w:rPr>
          <w:rFonts w:hint="eastAsia" w:ascii="微软雅黑" w:hAnsi="微软雅黑" w:eastAsia="微软雅黑" w:cs="微软雅黑"/>
          <w:color w:val="auto"/>
          <w:sz w:val="36"/>
          <w:szCs w:val="36"/>
          <w:highlight w:val="none"/>
          <w:lang w:val="en-US" w:eastAsia="zh-CN"/>
        </w:rPr>
        <w:t>第五部分  2026年度单位预算表</w:t>
      </w:r>
    </w:p>
    <w:p w14:paraId="21796B2E">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一、</w:t>
      </w:r>
      <w:r>
        <w:rPr>
          <w:rFonts w:hint="eastAsia" w:ascii="仿宋" w:hAnsi="仿宋" w:eastAsia="仿宋" w:cs="仿宋"/>
          <w:color w:val="auto"/>
          <w:sz w:val="32"/>
          <w:szCs w:val="32"/>
          <w:highlight w:val="none"/>
        </w:rPr>
        <w:t>收支总表</w:t>
      </w:r>
    </w:p>
    <w:p w14:paraId="469360AD">
      <w:pPr>
        <w:pStyle w:val="6"/>
        <w:keepNext w:val="0"/>
        <w:keepLines w:val="0"/>
        <w:pageBreakBefore w:val="0"/>
        <w:widowControl w:val="0"/>
        <w:kinsoku/>
        <w:wordWrap/>
        <w:overflowPunct/>
        <w:topLinePunct w:val="0"/>
        <w:autoSpaceDE/>
        <w:autoSpaceDN/>
        <w:bidi w:val="0"/>
        <w:adjustRightInd/>
        <w:snapToGrid/>
        <w:spacing w:after="0" w:line="360" w:lineRule="auto"/>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二、收入总表</w:t>
      </w:r>
    </w:p>
    <w:p w14:paraId="10C7FDCB">
      <w:pPr>
        <w:pStyle w:val="6"/>
        <w:keepNext w:val="0"/>
        <w:keepLines w:val="0"/>
        <w:pageBreakBefore w:val="0"/>
        <w:widowControl w:val="0"/>
        <w:kinsoku/>
        <w:wordWrap/>
        <w:overflowPunct/>
        <w:topLinePunct w:val="0"/>
        <w:autoSpaceDE/>
        <w:autoSpaceDN/>
        <w:bidi w:val="0"/>
        <w:adjustRightInd/>
        <w:snapToGrid/>
        <w:spacing w:after="0" w:line="360" w:lineRule="auto"/>
        <w:ind w:firstLine="608"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w w:val="95"/>
          <w:sz w:val="32"/>
          <w:szCs w:val="32"/>
          <w:highlight w:val="none"/>
        </w:rPr>
        <w:t>三、支出总表</w:t>
      </w:r>
    </w:p>
    <w:p w14:paraId="352A3058">
      <w:pPr>
        <w:pStyle w:val="6"/>
        <w:keepNext w:val="0"/>
        <w:keepLines w:val="0"/>
        <w:pageBreakBefore w:val="0"/>
        <w:widowControl w:val="0"/>
        <w:kinsoku/>
        <w:wordWrap/>
        <w:overflowPunct/>
        <w:topLinePunct w:val="0"/>
        <w:autoSpaceDE/>
        <w:autoSpaceDN/>
        <w:bidi w:val="0"/>
        <w:adjustRightInd/>
        <w:snapToGrid/>
        <w:spacing w:after="0" w:line="360" w:lineRule="auto"/>
        <w:ind w:firstLine="608"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w w:val="95"/>
          <w:sz w:val="32"/>
          <w:szCs w:val="32"/>
          <w:highlight w:val="none"/>
        </w:rPr>
        <w:t>四、财政拨款收支总表</w:t>
      </w:r>
    </w:p>
    <w:p w14:paraId="1D4A26E8">
      <w:pPr>
        <w:pStyle w:val="6"/>
        <w:keepNext w:val="0"/>
        <w:keepLines w:val="0"/>
        <w:pageBreakBefore w:val="0"/>
        <w:widowControl w:val="0"/>
        <w:kinsoku/>
        <w:wordWrap/>
        <w:overflowPunct/>
        <w:topLinePunct w:val="0"/>
        <w:autoSpaceDE/>
        <w:autoSpaceDN/>
        <w:bidi w:val="0"/>
        <w:adjustRightInd/>
        <w:snapToGrid/>
        <w:spacing w:after="0" w:line="360" w:lineRule="auto"/>
        <w:ind w:firstLine="608"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w w:val="95"/>
          <w:sz w:val="32"/>
          <w:szCs w:val="32"/>
          <w:highlight w:val="none"/>
        </w:rPr>
        <w:t>五、一般公共预算支出表</w:t>
      </w:r>
    </w:p>
    <w:p w14:paraId="2CE1322E">
      <w:pPr>
        <w:pStyle w:val="6"/>
        <w:keepNext w:val="0"/>
        <w:keepLines w:val="0"/>
        <w:pageBreakBefore w:val="0"/>
        <w:widowControl w:val="0"/>
        <w:kinsoku/>
        <w:wordWrap/>
        <w:overflowPunct/>
        <w:topLinePunct w:val="0"/>
        <w:autoSpaceDE/>
        <w:autoSpaceDN/>
        <w:bidi w:val="0"/>
        <w:adjustRightInd/>
        <w:snapToGrid/>
        <w:spacing w:after="0" w:line="360" w:lineRule="auto"/>
        <w:ind w:firstLine="608" w:firstLineChars="200"/>
        <w:jc w:val="left"/>
        <w:textAlignment w:val="auto"/>
        <w:rPr>
          <w:rFonts w:hint="eastAsia" w:ascii="仿宋" w:hAnsi="仿宋" w:eastAsia="仿宋" w:cs="仿宋"/>
          <w:color w:val="auto"/>
          <w:w w:val="95"/>
          <w:sz w:val="32"/>
          <w:szCs w:val="32"/>
          <w:highlight w:val="none"/>
        </w:rPr>
      </w:pPr>
      <w:r>
        <w:rPr>
          <w:rFonts w:hint="eastAsia" w:ascii="仿宋" w:hAnsi="仿宋" w:eastAsia="仿宋" w:cs="仿宋"/>
          <w:color w:val="auto"/>
          <w:w w:val="95"/>
          <w:sz w:val="32"/>
          <w:szCs w:val="32"/>
          <w:highlight w:val="none"/>
        </w:rPr>
        <w:t>六、一般公共预算基本支出表</w:t>
      </w:r>
    </w:p>
    <w:p w14:paraId="149C2B31">
      <w:pPr>
        <w:pStyle w:val="6"/>
        <w:keepNext w:val="0"/>
        <w:keepLines w:val="0"/>
        <w:pageBreakBefore w:val="0"/>
        <w:widowControl w:val="0"/>
        <w:kinsoku/>
        <w:wordWrap/>
        <w:overflowPunct/>
        <w:topLinePunct w:val="0"/>
        <w:autoSpaceDE/>
        <w:autoSpaceDN/>
        <w:bidi w:val="0"/>
        <w:adjustRightInd/>
        <w:snapToGrid/>
        <w:spacing w:after="0" w:line="360" w:lineRule="auto"/>
        <w:ind w:firstLine="608" w:firstLineChars="200"/>
        <w:jc w:val="left"/>
        <w:textAlignment w:val="auto"/>
        <w:rPr>
          <w:rFonts w:hint="eastAsia" w:ascii="仿宋" w:hAnsi="仿宋" w:eastAsia="仿宋" w:cs="仿宋"/>
          <w:color w:val="auto"/>
          <w:w w:val="95"/>
          <w:sz w:val="32"/>
          <w:szCs w:val="32"/>
          <w:highlight w:val="none"/>
        </w:rPr>
      </w:pPr>
      <w:r>
        <w:rPr>
          <w:rFonts w:hint="eastAsia" w:ascii="仿宋" w:hAnsi="仿宋" w:eastAsia="仿宋" w:cs="仿宋"/>
          <w:color w:val="auto"/>
          <w:w w:val="95"/>
          <w:sz w:val="32"/>
          <w:szCs w:val="32"/>
          <w:highlight w:val="none"/>
        </w:rPr>
        <w:t>七、一般公共预算“三公”经费支出表</w:t>
      </w:r>
    </w:p>
    <w:p w14:paraId="124A7178">
      <w:pPr>
        <w:pStyle w:val="6"/>
        <w:keepNext w:val="0"/>
        <w:keepLines w:val="0"/>
        <w:pageBreakBefore w:val="0"/>
        <w:widowControl w:val="0"/>
        <w:kinsoku/>
        <w:wordWrap/>
        <w:overflowPunct/>
        <w:topLinePunct w:val="0"/>
        <w:autoSpaceDE/>
        <w:autoSpaceDN/>
        <w:bidi w:val="0"/>
        <w:adjustRightInd/>
        <w:snapToGrid/>
        <w:spacing w:after="0" w:line="360" w:lineRule="auto"/>
        <w:ind w:firstLine="608" w:firstLineChars="200"/>
        <w:jc w:val="left"/>
        <w:textAlignment w:val="auto"/>
        <w:rPr>
          <w:rFonts w:hint="eastAsia" w:ascii="仿宋" w:hAnsi="仿宋" w:eastAsia="仿宋" w:cs="仿宋"/>
          <w:color w:val="auto"/>
          <w:w w:val="95"/>
          <w:sz w:val="32"/>
          <w:szCs w:val="32"/>
          <w:highlight w:val="none"/>
        </w:rPr>
      </w:pPr>
      <w:r>
        <w:rPr>
          <w:rFonts w:hint="eastAsia" w:ascii="仿宋" w:hAnsi="仿宋" w:eastAsia="仿宋" w:cs="仿宋"/>
          <w:color w:val="auto"/>
          <w:w w:val="95"/>
          <w:sz w:val="32"/>
          <w:szCs w:val="32"/>
          <w:highlight w:val="none"/>
        </w:rPr>
        <w:t>八、政府性基金预算支出表</w:t>
      </w:r>
    </w:p>
    <w:p w14:paraId="191A6F4F">
      <w:pPr>
        <w:pStyle w:val="6"/>
        <w:keepNext w:val="0"/>
        <w:keepLines w:val="0"/>
        <w:pageBreakBefore w:val="0"/>
        <w:widowControl w:val="0"/>
        <w:kinsoku/>
        <w:wordWrap/>
        <w:overflowPunct/>
        <w:topLinePunct w:val="0"/>
        <w:autoSpaceDE/>
        <w:autoSpaceDN/>
        <w:bidi w:val="0"/>
        <w:adjustRightInd/>
        <w:snapToGrid/>
        <w:spacing w:after="0" w:line="360" w:lineRule="auto"/>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九、国有资本经营预算支出表</w:t>
      </w:r>
    </w:p>
    <w:p w14:paraId="10F59881">
      <w:pPr>
        <w:pStyle w:val="6"/>
        <w:keepNext w:val="0"/>
        <w:keepLines w:val="0"/>
        <w:pageBreakBefore w:val="0"/>
        <w:widowControl w:val="0"/>
        <w:kinsoku/>
        <w:wordWrap/>
        <w:overflowPunct/>
        <w:topLinePunct w:val="0"/>
        <w:autoSpaceDE/>
        <w:autoSpaceDN/>
        <w:bidi w:val="0"/>
        <w:adjustRightInd/>
        <w:snapToGrid/>
        <w:spacing w:after="0" w:line="360" w:lineRule="auto"/>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十、项目支出表</w:t>
      </w:r>
    </w:p>
    <w:p w14:paraId="466380ED">
      <w:pPr>
        <w:pStyle w:val="6"/>
        <w:keepNext w:val="0"/>
        <w:keepLines w:val="0"/>
        <w:pageBreakBefore w:val="0"/>
        <w:widowControl w:val="0"/>
        <w:kinsoku/>
        <w:wordWrap/>
        <w:overflowPunct/>
        <w:topLinePunct w:val="0"/>
        <w:autoSpaceDE/>
        <w:autoSpaceDN/>
        <w:bidi w:val="0"/>
        <w:adjustRightInd/>
        <w:snapToGrid/>
        <w:spacing w:after="0" w:line="360" w:lineRule="auto"/>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十一、项目绩效目标表</w:t>
      </w:r>
    </w:p>
    <w:p w14:paraId="21C20F73">
      <w:pPr>
        <w:pStyle w:val="6"/>
        <w:keepNext w:val="0"/>
        <w:keepLines w:val="0"/>
        <w:pageBreakBefore w:val="0"/>
        <w:widowControl w:val="0"/>
        <w:kinsoku/>
        <w:wordWrap/>
        <w:overflowPunct/>
        <w:topLinePunct w:val="0"/>
        <w:autoSpaceDE/>
        <w:autoSpaceDN/>
        <w:bidi w:val="0"/>
        <w:adjustRightInd/>
        <w:snapToGrid/>
        <w:spacing w:after="0" w:line="360" w:lineRule="auto"/>
        <w:ind w:firstLine="608"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w w:val="95"/>
          <w:sz w:val="32"/>
          <w:szCs w:val="32"/>
          <w:highlight w:val="none"/>
        </w:rPr>
        <w:t>十二、政府采购预算表</w:t>
      </w:r>
    </w:p>
    <w:p w14:paraId="1240B41D">
      <w:pPr>
        <w:pStyle w:val="2"/>
        <w:keepNext w:val="0"/>
        <w:keepLines w:val="0"/>
        <w:pageBreakBefore w:val="0"/>
        <w:widowControl w:val="0"/>
        <w:kinsoku/>
        <w:wordWrap/>
        <w:overflowPunct/>
        <w:topLinePunct w:val="0"/>
        <w:autoSpaceDE/>
        <w:autoSpaceDN/>
        <w:bidi w:val="0"/>
        <w:adjustRightInd/>
        <w:snapToGrid/>
        <w:spacing w:after="0"/>
        <w:ind w:left="0" w:leftChars="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备注</w:t>
      </w:r>
      <w:r>
        <w:rPr>
          <w:rFonts w:hint="eastAsia" w:ascii="仿宋" w:hAnsi="仿宋" w:eastAsia="仿宋" w:cs="仿宋"/>
          <w:color w:val="auto"/>
          <w:sz w:val="32"/>
          <w:szCs w:val="32"/>
          <w:highlight w:val="none"/>
          <w:lang w:val="en-US" w:eastAsia="zh-CN"/>
        </w:rPr>
        <w:t>：1.预算公开表见附件</w:t>
      </w:r>
    </w:p>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46CFAE-F9A1-4F99-AF07-A5A4D80230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F38D3E0-F8D2-479E-BF02-861240CBF948}"/>
  </w:font>
  <w:font w:name="微软雅黑">
    <w:panose1 w:val="020B0503020204020204"/>
    <w:charset w:val="86"/>
    <w:family w:val="auto"/>
    <w:pitch w:val="default"/>
    <w:sig w:usb0="80000287" w:usb1="2ACF3C50" w:usb2="00000016" w:usb3="00000000" w:csb0="0004001F" w:csb1="00000000"/>
    <w:embedRegular r:id="rId3" w:fontKey="{09ED8917-C40B-43CA-BD0F-235A76CC04EE}"/>
  </w:font>
  <w:font w:name="仿宋_GB2312">
    <w:panose1 w:val="02010609030101010101"/>
    <w:charset w:val="86"/>
    <w:family w:val="modern"/>
    <w:pitch w:val="default"/>
    <w:sig w:usb0="00000001" w:usb1="080E0000" w:usb2="00000000" w:usb3="00000000" w:csb0="00040000" w:csb1="00000000"/>
    <w:embedRegular r:id="rId4" w:fontKey="{174D4F99-5E6C-4A6C-A27D-5767FE4F49A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C1D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F2424">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8F2424">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4364"/>
    <w:multiLevelType w:val="singleLevel"/>
    <w:tmpl w:val="4EC743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ZWUzYTExMmNjMWM1ZjE0MGIwMWFhMDFjMDdhMjQifQ=="/>
  </w:docVars>
  <w:rsids>
    <w:rsidRoot w:val="6ABE7FF0"/>
    <w:rsid w:val="02571C51"/>
    <w:rsid w:val="031A4A2D"/>
    <w:rsid w:val="03E924E0"/>
    <w:rsid w:val="09AE1608"/>
    <w:rsid w:val="0A6401AD"/>
    <w:rsid w:val="13996A5E"/>
    <w:rsid w:val="14C03686"/>
    <w:rsid w:val="16551BAC"/>
    <w:rsid w:val="16CA6BE3"/>
    <w:rsid w:val="19121FD6"/>
    <w:rsid w:val="195B1BCF"/>
    <w:rsid w:val="199250F4"/>
    <w:rsid w:val="1A3B6681"/>
    <w:rsid w:val="1A9F5AEC"/>
    <w:rsid w:val="1EDA3596"/>
    <w:rsid w:val="1F13400C"/>
    <w:rsid w:val="23302842"/>
    <w:rsid w:val="24966E72"/>
    <w:rsid w:val="275F0ADD"/>
    <w:rsid w:val="2BBB7F2E"/>
    <w:rsid w:val="2D1D6FE0"/>
    <w:rsid w:val="2E0B2BC9"/>
    <w:rsid w:val="2F132A17"/>
    <w:rsid w:val="328533C1"/>
    <w:rsid w:val="331E47C4"/>
    <w:rsid w:val="35661288"/>
    <w:rsid w:val="37DB7249"/>
    <w:rsid w:val="3B5E3291"/>
    <w:rsid w:val="3DAC0843"/>
    <w:rsid w:val="3E272AFA"/>
    <w:rsid w:val="41090A9B"/>
    <w:rsid w:val="44147E0B"/>
    <w:rsid w:val="44816692"/>
    <w:rsid w:val="44D72076"/>
    <w:rsid w:val="4703102D"/>
    <w:rsid w:val="472B0E49"/>
    <w:rsid w:val="49E630B4"/>
    <w:rsid w:val="4AF6725F"/>
    <w:rsid w:val="4B5E0F27"/>
    <w:rsid w:val="4BA24F39"/>
    <w:rsid w:val="4C5B5467"/>
    <w:rsid w:val="4E61394D"/>
    <w:rsid w:val="59995C23"/>
    <w:rsid w:val="5AB8696B"/>
    <w:rsid w:val="5B062376"/>
    <w:rsid w:val="5B333113"/>
    <w:rsid w:val="5B7377AF"/>
    <w:rsid w:val="5CB84210"/>
    <w:rsid w:val="5CB93709"/>
    <w:rsid w:val="5D5F2342"/>
    <w:rsid w:val="5E681552"/>
    <w:rsid w:val="625433B0"/>
    <w:rsid w:val="64E9513C"/>
    <w:rsid w:val="675B77B9"/>
    <w:rsid w:val="677F7E04"/>
    <w:rsid w:val="69401815"/>
    <w:rsid w:val="6984338D"/>
    <w:rsid w:val="6A5816A5"/>
    <w:rsid w:val="6A997E1D"/>
    <w:rsid w:val="6AAB0F10"/>
    <w:rsid w:val="6ABE7FF0"/>
    <w:rsid w:val="6B430C2A"/>
    <w:rsid w:val="6B6D2669"/>
    <w:rsid w:val="6C1C0317"/>
    <w:rsid w:val="6C4B3902"/>
    <w:rsid w:val="6C975BF0"/>
    <w:rsid w:val="6E592A18"/>
    <w:rsid w:val="6EC86E03"/>
    <w:rsid w:val="747607E0"/>
    <w:rsid w:val="75014FA5"/>
    <w:rsid w:val="75294697"/>
    <w:rsid w:val="75BC66C7"/>
    <w:rsid w:val="762873AA"/>
    <w:rsid w:val="79EFEE07"/>
    <w:rsid w:val="7A2A00A3"/>
    <w:rsid w:val="7A456C8B"/>
    <w:rsid w:val="7A7E219D"/>
    <w:rsid w:val="7AA37E55"/>
    <w:rsid w:val="7E310807"/>
    <w:rsid w:val="7E955D07"/>
    <w:rsid w:val="7ECD3FB8"/>
    <w:rsid w:val="7FEBFB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5">
    <w:name w:val="heading 4"/>
    <w:basedOn w:val="1"/>
    <w:next w:val="1"/>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0"/>
    <w:pPr>
      <w:spacing w:after="120"/>
      <w:ind w:left="420" w:leftChars="200"/>
      <w:jc w:val="left"/>
    </w:pPr>
    <w:rPr>
      <w:rFonts w:hint="eastAsia" w:ascii="宋体" w:hAnsi="宋体" w:eastAsia="宋体"/>
      <w:kern w:val="0"/>
      <w:sz w:val="24"/>
      <w:szCs w:val="24"/>
    </w:rPr>
  </w:style>
  <w:style w:type="paragraph" w:styleId="6">
    <w:name w:val="Body Text"/>
    <w:basedOn w:val="1"/>
    <w:unhideWhenUsed/>
    <w:qFormat/>
    <w:uiPriority w:val="1"/>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收入预算结构图（单位：万元）</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一般公共预算收入</c:v>
                </c:pt>
              </c:strCache>
            </c:strRef>
          </c:cat>
          <c:val>
            <c:numRef>
              <c:f>Sheet1!$B$2</c:f>
              <c:numCache>
                <c:formatCode>#,##0.00</c:formatCode>
                <c:ptCount val="1"/>
                <c:pt idx="0">
                  <c:v>1246.89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345fd0-0a0b-4972-8aed-dab0f92e997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支出预算结构图（单位：万元）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992.89</c:v>
                </c:pt>
                <c:pt idx="1" c:formatCode="General">
                  <c:v>254</c:v>
                </c:pt>
              </c:numCache>
            </c:numRef>
          </c:val>
        </c:ser>
        <c:ser>
          <c:idx val="1"/>
          <c:order val="1"/>
          <c:tx>
            <c:strRef>
              <c:f>Sheet1!$C$1</c:f>
              <c:strCache>
                <c:ptCount val="1"/>
                <c:pt idx="0">
                  <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Sheet1!$C$2:$C$3</c:f>
              <c:numCache>
                <c:formatCode>General</c:formatCode>
                <c:ptCount val="2"/>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345fd0-0a0b-4972-8aed-dab0f92e997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6975</Words>
  <Characters>7586</Characters>
  <Lines>0</Lines>
  <Paragraphs>0</Paragraphs>
  <TotalTime>2</TotalTime>
  <ScaleCrop>false</ScaleCrop>
  <LinksUpToDate>false</LinksUpToDate>
  <CharactersWithSpaces>7609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2022-10-26T03:17:00Z</dcterms:created>
  <dc:creator>Air</dc:creator>
  <cp:lastModifiedBy>白霜</cp:lastModifiedBy>
  <dcterms:modified xsi:type="dcterms:W3CDTF">2026-02-28T07:23:26Z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2C7125C3F372424689B2C61929844D8C</vt:lpwstr>
  </property>
  <property fmtid="{D5CDD505-2E9C-101B-9397-08002B2CF9AE}" pid="4" name="KSOTemplateDocerSaveRecord">
    <vt:lpwstr>eyJoZGlkIjoiMDZhOWI2OTI0ZTg2M2JjNmQ0YjI4NzdlMDEyOWNkNTUiLCJ1c2VySWQiOiI0NDg0NDkwMjQifQ==</vt:lpwstr>
  </property>
</Properties>
</file>